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65BF5" w14:textId="1D78FF01" w:rsidR="00EB403D" w:rsidRDefault="00EB403D" w:rsidP="00371195">
      <w:pPr>
        <w:autoSpaceDE w:val="0"/>
        <w:autoSpaceDN w:val="0"/>
        <w:adjustRightInd w:val="0"/>
        <w:spacing w:after="0" w:line="360" w:lineRule="auto"/>
        <w:jc w:val="both"/>
        <w:rPr>
          <w:rFonts w:ascii="Century Gothic" w:hAnsi="Century Gothic" w:cs="CenturyGothic"/>
          <w:b/>
          <w:bCs/>
          <w:sz w:val="24"/>
          <w:szCs w:val="24"/>
        </w:rPr>
      </w:pPr>
    </w:p>
    <w:p w14:paraId="5A8D2BC2" w14:textId="27F5B891" w:rsidR="009230D0" w:rsidRPr="00A96C32" w:rsidRDefault="00D46ABE" w:rsidP="00371195">
      <w:pPr>
        <w:autoSpaceDE w:val="0"/>
        <w:autoSpaceDN w:val="0"/>
        <w:adjustRightInd w:val="0"/>
        <w:spacing w:after="0" w:line="360" w:lineRule="auto"/>
        <w:jc w:val="both"/>
        <w:rPr>
          <w:rFonts w:ascii="Century Gothic" w:hAnsi="Century Gothic" w:cs="CenturyGothic"/>
          <w:b/>
          <w:bCs/>
          <w:sz w:val="24"/>
          <w:szCs w:val="24"/>
        </w:rPr>
      </w:pPr>
      <w:r w:rsidRPr="00A96C32">
        <w:rPr>
          <w:rFonts w:ascii="Century Gothic" w:hAnsi="Century Gothic" w:cs="CenturyGothic"/>
          <w:b/>
          <w:bCs/>
          <w:sz w:val="24"/>
          <w:szCs w:val="24"/>
        </w:rPr>
        <w:t>ULTERIORI MISURE PER LA PREVENZIONE E GESTIONE DELL’EMERGENZA</w:t>
      </w:r>
      <w:r w:rsidR="009230D0" w:rsidRPr="00A96C32">
        <w:rPr>
          <w:rFonts w:ascii="Century Gothic" w:hAnsi="Century Gothic" w:cs="CenturyGothic"/>
          <w:b/>
          <w:bCs/>
          <w:sz w:val="24"/>
          <w:szCs w:val="24"/>
        </w:rPr>
        <w:t xml:space="preserve"> </w:t>
      </w:r>
      <w:r w:rsidRPr="00A96C32">
        <w:rPr>
          <w:rFonts w:ascii="Century Gothic" w:hAnsi="Century Gothic" w:cs="CenturyGothic"/>
          <w:b/>
          <w:bCs/>
          <w:sz w:val="24"/>
          <w:szCs w:val="24"/>
        </w:rPr>
        <w:t>EPIDEMIOLOGICA DA COVID-19. ORDINANZA AI SENSI DELL’ART. 32, COMMA 3,</w:t>
      </w:r>
      <w:r w:rsidR="009230D0" w:rsidRPr="00A96C32">
        <w:rPr>
          <w:rFonts w:ascii="Century Gothic" w:hAnsi="Century Gothic" w:cs="CenturyGothic"/>
          <w:b/>
          <w:bCs/>
          <w:sz w:val="24"/>
          <w:szCs w:val="24"/>
        </w:rPr>
        <w:t xml:space="preserve"> </w:t>
      </w:r>
      <w:r w:rsidRPr="00A96C32">
        <w:rPr>
          <w:rFonts w:ascii="Century Gothic" w:hAnsi="Century Gothic" w:cs="CenturyGothic"/>
          <w:b/>
          <w:bCs/>
          <w:sz w:val="24"/>
          <w:szCs w:val="24"/>
        </w:rPr>
        <w:t>DELLA LEGGE 23 DICEMBRE 1978, N. 833 IN MATERIA DI IGIENE E SANITÀ</w:t>
      </w:r>
      <w:r w:rsidR="009230D0" w:rsidRPr="00A96C32">
        <w:rPr>
          <w:rFonts w:ascii="Century Gothic" w:hAnsi="Century Gothic" w:cs="CenturyGothic"/>
          <w:b/>
          <w:bCs/>
          <w:sz w:val="24"/>
          <w:szCs w:val="24"/>
        </w:rPr>
        <w:t xml:space="preserve"> </w:t>
      </w:r>
      <w:r w:rsidRPr="00A96C32">
        <w:rPr>
          <w:rFonts w:ascii="Century Gothic" w:hAnsi="Century Gothic" w:cs="CenturyGothic"/>
          <w:b/>
          <w:bCs/>
          <w:sz w:val="24"/>
          <w:szCs w:val="24"/>
        </w:rPr>
        <w:t>PUBBLICA, DELL’ART. 3 DEL DECRETO-LEGGE 25 MARZO 2020, N. 19 E DELL’ART. 1</w:t>
      </w:r>
      <w:r w:rsidR="009230D0" w:rsidRPr="00A96C32">
        <w:rPr>
          <w:rFonts w:ascii="Century Gothic" w:hAnsi="Century Gothic" w:cs="CenturyGothic"/>
          <w:b/>
          <w:bCs/>
          <w:sz w:val="24"/>
          <w:szCs w:val="24"/>
        </w:rPr>
        <w:t xml:space="preserve"> </w:t>
      </w:r>
      <w:r w:rsidRPr="00A96C32">
        <w:rPr>
          <w:rFonts w:ascii="Century Gothic" w:hAnsi="Century Gothic" w:cs="CenturyGothic"/>
          <w:b/>
          <w:bCs/>
          <w:sz w:val="24"/>
          <w:szCs w:val="24"/>
        </w:rPr>
        <w:t>COMMA 16 DEL DECRETO-LEGGE 16 MAGGIO 2020, N. 33</w:t>
      </w:r>
    </w:p>
    <w:p w14:paraId="56CBBAE0" w14:textId="77777777" w:rsidR="00A32922" w:rsidRPr="00A96C32" w:rsidRDefault="00A32922" w:rsidP="00371195">
      <w:pPr>
        <w:autoSpaceDE w:val="0"/>
        <w:autoSpaceDN w:val="0"/>
        <w:adjustRightInd w:val="0"/>
        <w:spacing w:after="0" w:line="360" w:lineRule="auto"/>
        <w:jc w:val="both"/>
        <w:rPr>
          <w:rFonts w:ascii="CenturyGothic" w:hAnsi="CenturyGothic" w:cs="CenturyGothic"/>
          <w:sz w:val="24"/>
          <w:szCs w:val="24"/>
        </w:rPr>
      </w:pPr>
    </w:p>
    <w:p w14:paraId="3F94D9B5" w14:textId="74D49B33" w:rsidR="00D46ABE" w:rsidRPr="00A96C32" w:rsidRDefault="00D46ABE" w:rsidP="006F062D">
      <w:pPr>
        <w:autoSpaceDE w:val="0"/>
        <w:autoSpaceDN w:val="0"/>
        <w:adjustRightInd w:val="0"/>
        <w:spacing w:after="0" w:line="360" w:lineRule="auto"/>
        <w:jc w:val="center"/>
        <w:rPr>
          <w:sz w:val="24"/>
          <w:szCs w:val="24"/>
        </w:rPr>
      </w:pPr>
      <w:r w:rsidRPr="00A96C32">
        <w:rPr>
          <w:rFonts w:ascii="Century Gothic" w:hAnsi="Century Gothic"/>
          <w:b/>
          <w:bCs/>
          <w:sz w:val="24"/>
          <w:szCs w:val="24"/>
        </w:rPr>
        <w:t>IL PRESIDENTE</w:t>
      </w:r>
    </w:p>
    <w:p w14:paraId="1C33EF97" w14:textId="77777777" w:rsidR="00D46ABE" w:rsidRPr="00A96C32" w:rsidRDefault="00D46ABE" w:rsidP="00371195">
      <w:pPr>
        <w:pStyle w:val="NormaleWeb"/>
        <w:spacing w:before="0" w:beforeAutospacing="0" w:after="0" w:line="360" w:lineRule="auto"/>
        <w:jc w:val="both"/>
      </w:pPr>
      <w:r w:rsidRPr="00A96C32">
        <w:rPr>
          <w:rFonts w:ascii="Century Gothic" w:hAnsi="Century Gothic"/>
          <w:b/>
          <w:bCs/>
          <w:color w:val="000000"/>
        </w:rPr>
        <w:t xml:space="preserve">VISTI </w:t>
      </w:r>
      <w:r w:rsidRPr="00A96C32">
        <w:rPr>
          <w:rFonts w:ascii="Century Gothic" w:hAnsi="Century Gothic"/>
          <w:color w:val="000000"/>
        </w:rPr>
        <w:t>gli articoli 32, 117, comma 2, lettera q), e 118 della Costituzione;</w:t>
      </w:r>
    </w:p>
    <w:p w14:paraId="0F7B454E" w14:textId="77777777" w:rsidR="00D46ABE" w:rsidRPr="00A96C32" w:rsidRDefault="00D46ABE" w:rsidP="00371195">
      <w:pPr>
        <w:pStyle w:val="NormaleWeb"/>
        <w:spacing w:before="0" w:beforeAutospacing="0" w:after="0" w:line="360" w:lineRule="auto"/>
        <w:jc w:val="both"/>
      </w:pPr>
      <w:r w:rsidRPr="00A96C32">
        <w:rPr>
          <w:rFonts w:ascii="Century Gothic" w:hAnsi="Century Gothic"/>
          <w:b/>
          <w:bCs/>
        </w:rPr>
        <w:t xml:space="preserve">VISTO </w:t>
      </w:r>
      <w:r w:rsidRPr="00A96C32">
        <w:rPr>
          <w:rFonts w:ascii="Century Gothic" w:hAnsi="Century Gothic"/>
        </w:rPr>
        <w:t>l’articolo 168 del Trattato sul Funzionamento dell’Unione Europea;</w:t>
      </w:r>
    </w:p>
    <w:p w14:paraId="071E85D3" w14:textId="77777777" w:rsidR="00D46ABE" w:rsidRPr="00A96C32" w:rsidRDefault="00D46ABE" w:rsidP="00371195">
      <w:pPr>
        <w:pStyle w:val="NormaleWeb"/>
        <w:spacing w:before="0" w:beforeAutospacing="0" w:after="0" w:line="360" w:lineRule="auto"/>
        <w:jc w:val="both"/>
      </w:pPr>
      <w:r w:rsidRPr="00A96C32">
        <w:rPr>
          <w:rFonts w:ascii="Century Gothic" w:hAnsi="Century Gothic"/>
          <w:b/>
          <w:bCs/>
        </w:rPr>
        <w:lastRenderedPageBreak/>
        <w:t xml:space="preserve">VISTA </w:t>
      </w:r>
      <w:r w:rsidRPr="00A96C32">
        <w:rPr>
          <w:rFonts w:ascii="Century Gothic" w:hAnsi="Century Gothic"/>
        </w:rPr>
        <w:t>la legge 23 dicembre 1978, n. 833 e, in particolare, l’art. 32;</w:t>
      </w:r>
    </w:p>
    <w:p w14:paraId="3900A3E1" w14:textId="77777777" w:rsidR="00D46ABE" w:rsidRPr="00A96C32" w:rsidRDefault="00D46ABE" w:rsidP="00371195">
      <w:pPr>
        <w:pStyle w:val="NormaleWeb"/>
        <w:spacing w:before="0" w:beforeAutospacing="0" w:after="0" w:line="360" w:lineRule="auto"/>
        <w:jc w:val="both"/>
      </w:pPr>
      <w:r w:rsidRPr="00A96C32">
        <w:rPr>
          <w:rFonts w:ascii="Century Gothic" w:hAnsi="Century Gothic"/>
          <w:b/>
          <w:bCs/>
        </w:rPr>
        <w:t xml:space="preserve">VISTO </w:t>
      </w:r>
      <w:r w:rsidRPr="00A96C32">
        <w:rPr>
          <w:rFonts w:ascii="Century Gothic" w:hAnsi="Century Gothic"/>
        </w:rPr>
        <w:t>l’art. 117, comma 1 del decreto legislativo 31 marzo 1998 n. 112;</w:t>
      </w:r>
    </w:p>
    <w:p w14:paraId="689BB95D" w14:textId="77777777" w:rsidR="00D46ABE" w:rsidRPr="00A96C32" w:rsidRDefault="00D46ABE" w:rsidP="00371195">
      <w:pPr>
        <w:pStyle w:val="NormaleWeb"/>
        <w:spacing w:before="0" w:beforeAutospacing="0" w:after="0" w:line="360" w:lineRule="auto"/>
        <w:jc w:val="both"/>
      </w:pPr>
      <w:r w:rsidRPr="00A96C32">
        <w:rPr>
          <w:rFonts w:ascii="Century Gothic" w:hAnsi="Century Gothic"/>
          <w:b/>
          <w:bCs/>
        </w:rPr>
        <w:t xml:space="preserve">VISTO </w:t>
      </w:r>
      <w:r w:rsidRPr="00A96C32">
        <w:rPr>
          <w:rFonts w:ascii="Century Gothic" w:hAnsi="Century Gothic"/>
        </w:rPr>
        <w:t>il decreto-legge 25 marzo 2020, n. 19 recante “Misure urgenti per fronteggiare l'emergenza epidemiologica da COVID-19” convertito con modificazioni dalla L. 22 maggio 2020, n. 35 ed in particolare l’articolo 3;</w:t>
      </w:r>
    </w:p>
    <w:p w14:paraId="392321B1" w14:textId="35907CC5" w:rsidR="00D46ABE" w:rsidRPr="00A96C32" w:rsidRDefault="00D46ABE" w:rsidP="00371195">
      <w:pPr>
        <w:pStyle w:val="NormaleWeb"/>
        <w:spacing w:before="0" w:beforeAutospacing="0" w:after="0" w:line="360" w:lineRule="auto"/>
        <w:jc w:val="both"/>
      </w:pPr>
      <w:r w:rsidRPr="00A96C32">
        <w:rPr>
          <w:rFonts w:ascii="Century Gothic" w:hAnsi="Century Gothic"/>
          <w:b/>
          <w:bCs/>
        </w:rPr>
        <w:t xml:space="preserve">VISTO </w:t>
      </w:r>
      <w:r w:rsidRPr="00A96C32">
        <w:rPr>
          <w:rFonts w:ascii="Century Gothic" w:hAnsi="Century Gothic"/>
        </w:rPr>
        <w:t xml:space="preserve">il decreto-legge 16 maggio 2020, n. 33 recante «Ulteriori misure urgenti per fronteggiare l’emergenza epidemiologica da COVID-19» pubblicato nella Gazzetta ufficiale - Serie generale - n. 125 del 16 maggio 2020, e in particolare il comma 14 dell’art. 1, che consente lo svolgimento di tutte le attività economiche, produttive e </w:t>
      </w:r>
      <w:r w:rsidRPr="00A96C32">
        <w:rPr>
          <w:rFonts w:ascii="Century Gothic" w:hAnsi="Century Gothic"/>
        </w:rPr>
        <w:lastRenderedPageBreak/>
        <w:t xml:space="preserve">sociali “nel rispetto dei contenuti di protocolli o linee guida idonei a prevenire o ridurre il rischio di contagio nel settore di riferimento o in ambiti analoghi, adottati dalle regioni o dalla Conferenza delle regioni e delle province autonome nel rispetto dei principi contenuti nei protocolli o nelle linee guida nazionali” ed il comma 16 dello stesso art. 1 che stabilisce che “in relazione all’andamento della situazione epidemiologica sul territorio, accertato secondo i criteri stabiliti con decreto del Ministro della salute del 30 aprile 2020 e sue eventuali modificazioni, nelle more dell’adozione dei decreti del Presidente del Consiglio dei Ministri di cui all’articolo 2 del decreto-legge n. 19 del 2020, la Regione, informando contestualmente il Ministro della Salute, può introdurre misure derogatorie, </w:t>
      </w:r>
      <w:r w:rsidR="00C177AD" w:rsidRPr="00A96C32">
        <w:rPr>
          <w:rFonts w:ascii="Century Gothic" w:hAnsi="Century Gothic"/>
        </w:rPr>
        <w:t xml:space="preserve">restrittive  rispetto   a   quelle </w:t>
      </w:r>
      <w:r w:rsidR="00C177AD" w:rsidRPr="00A96C32">
        <w:rPr>
          <w:rFonts w:ascii="Century Gothic" w:hAnsi="Century Gothic"/>
        </w:rPr>
        <w:lastRenderedPageBreak/>
        <w:t>disposte ai sensi del medesimo articolo 2, ovvero, nei  soli  casi  e nel rispetto dei criteri previsti dai citati decreti e  d'intesa  con il Ministro della salute, anche ampliative</w:t>
      </w:r>
      <w:r w:rsidRPr="00A96C32">
        <w:rPr>
          <w:rFonts w:ascii="Century Gothic" w:hAnsi="Century Gothic"/>
        </w:rPr>
        <w:t>”;</w:t>
      </w:r>
    </w:p>
    <w:p w14:paraId="13D05546" w14:textId="77777777" w:rsidR="00D46ABE" w:rsidRPr="00A96C32" w:rsidRDefault="00D46ABE" w:rsidP="00371195">
      <w:pPr>
        <w:pStyle w:val="NormaleWeb"/>
        <w:spacing w:before="0" w:beforeAutospacing="0" w:after="0" w:line="360" w:lineRule="auto"/>
        <w:jc w:val="both"/>
      </w:pPr>
      <w:r w:rsidRPr="00A96C32">
        <w:rPr>
          <w:rFonts w:ascii="Century Gothic" w:hAnsi="Century Gothic"/>
          <w:b/>
          <w:bCs/>
        </w:rPr>
        <w:t xml:space="preserve">VISTO </w:t>
      </w:r>
      <w:r w:rsidRPr="00A96C32">
        <w:rPr>
          <w:rFonts w:ascii="Century Gothic" w:hAnsi="Century Gothic"/>
        </w:rPr>
        <w:t xml:space="preserve">il decreto-legge 30 luglio 2020, n. 83 recante “Misure urgenti connesse con la scadenza della dichiarazione di emergenza epidemiologica da COVID-19 deliberata il 31 gennaio 2020” che proroga fino al 15 ottobre lo stato di emergenza e le misure di contenimento dell’epidemia di cui ai decreti-legge 25 marzo 2020, n. 19 e 16 maggio 2020, n. 33; </w:t>
      </w:r>
    </w:p>
    <w:p w14:paraId="7617A31C" w14:textId="21D24395" w:rsidR="00C177AD" w:rsidRPr="00A96C32" w:rsidRDefault="00C177AD" w:rsidP="00371195">
      <w:pPr>
        <w:pStyle w:val="NormaleWeb"/>
        <w:spacing w:before="0" w:beforeAutospacing="0" w:after="0" w:line="360" w:lineRule="auto"/>
        <w:jc w:val="both"/>
        <w:rPr>
          <w:rFonts w:ascii="Century Gothic" w:hAnsi="Century Gothic"/>
        </w:rPr>
      </w:pPr>
      <w:r w:rsidRPr="00A96C32">
        <w:rPr>
          <w:rFonts w:ascii="Century Gothic" w:hAnsi="Century Gothic"/>
          <w:b/>
          <w:bCs/>
        </w:rPr>
        <w:t xml:space="preserve">VISTO </w:t>
      </w:r>
      <w:r w:rsidRPr="00A96C32">
        <w:rPr>
          <w:rFonts w:ascii="Century Gothic" w:hAnsi="Century Gothic"/>
        </w:rPr>
        <w:t xml:space="preserve">il decreto-legge 7 ottobre 2020, n. 125, recante «Misure urgenti connesse con la proroga della dichiarazione dello stato di emergenza epidemiologica da COVID-19 e per la continuità operativa del sistema di allerta </w:t>
      </w:r>
      <w:r w:rsidRPr="00A96C32">
        <w:rPr>
          <w:rFonts w:ascii="Century Gothic" w:hAnsi="Century Gothic"/>
        </w:rPr>
        <w:lastRenderedPageBreak/>
        <w:t>COVID, nonché per l’attuazione della direttiva (UE) 2020/739 del 3 giugno 2020”;</w:t>
      </w:r>
    </w:p>
    <w:p w14:paraId="5A87F3F2" w14:textId="1B3356FC" w:rsidR="00A66E20" w:rsidRPr="00A96C32" w:rsidRDefault="00A66E20" w:rsidP="00371195">
      <w:pPr>
        <w:pStyle w:val="NormaleWeb"/>
        <w:spacing w:before="0" w:beforeAutospacing="0" w:after="0" w:line="360" w:lineRule="auto"/>
        <w:jc w:val="both"/>
        <w:rPr>
          <w:rFonts w:ascii="Century Gothic" w:hAnsi="Century Gothic"/>
        </w:rPr>
      </w:pPr>
      <w:r w:rsidRPr="00A96C32">
        <w:rPr>
          <w:rFonts w:ascii="Century Gothic" w:hAnsi="Century Gothic"/>
          <w:b/>
          <w:bCs/>
        </w:rPr>
        <w:t>VISTO</w:t>
      </w:r>
      <w:r w:rsidRPr="00A96C32">
        <w:rPr>
          <w:rFonts w:ascii="Century Gothic" w:hAnsi="Century Gothic"/>
        </w:rPr>
        <w:t xml:space="preserve"> il decreto del Presidente del Consiglio dei Ministri 13 ottobre 2020, recante “Ulteriori disposizioni attuative del decreto-legge 25 marzo 2020, n. 19, convertito, con modificazioni, dalla legge 25 maggio 2020, n. 35, recante «Misure urgenti per fronteggiare l’emergenza epidemiologica da COVID-19», e del decreto-legge 16 maggio 2020, n. 33, convertito, con modificazioni, dalla legge 14 luglio 2020, n. 74, recante «Ulteriori misure urgenti per fronteggiare l’emergenza epidemiologica da COVID-19»</w:t>
      </w:r>
      <w:r w:rsidR="00A87715" w:rsidRPr="00A96C32">
        <w:rPr>
          <w:rFonts w:ascii="Century Gothic" w:hAnsi="Century Gothic"/>
        </w:rPr>
        <w:t xml:space="preserve"> pubblicato nella Gazzetta Ufficiale della Repubblica italiana 13 ottobre 2020, n. 253</w:t>
      </w:r>
      <w:r w:rsidRPr="00A96C32">
        <w:rPr>
          <w:rFonts w:ascii="Century Gothic" w:hAnsi="Century Gothic"/>
        </w:rPr>
        <w:t>;</w:t>
      </w:r>
    </w:p>
    <w:p w14:paraId="70D250FC" w14:textId="77777777" w:rsidR="002E6F38" w:rsidRDefault="002E6F38" w:rsidP="002E6F38">
      <w:pPr>
        <w:pStyle w:val="NormaleWeb"/>
        <w:spacing w:before="0" w:beforeAutospacing="0" w:after="0" w:line="360" w:lineRule="auto"/>
        <w:jc w:val="both"/>
        <w:rPr>
          <w:rFonts w:ascii="Century Gothic" w:eastAsiaTheme="minorHAnsi" w:hAnsi="Century Gothic" w:cstheme="minorBidi"/>
          <w:b/>
          <w:bCs/>
          <w:lang w:eastAsia="en-US"/>
        </w:rPr>
      </w:pPr>
      <w:r>
        <w:rPr>
          <w:rFonts w:ascii="Century Gothic" w:eastAsiaTheme="minorHAnsi" w:hAnsi="Century Gothic" w:cstheme="minorBidi"/>
          <w:b/>
          <w:bCs/>
          <w:lang w:eastAsia="en-US"/>
        </w:rPr>
        <w:t xml:space="preserve">VISTO </w:t>
      </w:r>
      <w:r w:rsidRPr="00E96A99">
        <w:rPr>
          <w:rFonts w:ascii="Century Gothic" w:eastAsiaTheme="minorHAnsi" w:hAnsi="Century Gothic" w:cstheme="minorBidi"/>
          <w:lang w:eastAsia="en-US"/>
        </w:rPr>
        <w:t xml:space="preserve">Il </w:t>
      </w:r>
      <w:r>
        <w:rPr>
          <w:rFonts w:ascii="Century Gothic" w:eastAsiaTheme="minorHAnsi" w:hAnsi="Century Gothic" w:cstheme="minorBidi"/>
          <w:lang w:eastAsia="en-US"/>
        </w:rPr>
        <w:t>d</w:t>
      </w:r>
      <w:r w:rsidRPr="00E96A99">
        <w:rPr>
          <w:rFonts w:ascii="Century Gothic" w:eastAsiaTheme="minorHAnsi" w:hAnsi="Century Gothic" w:cstheme="minorBidi"/>
          <w:lang w:eastAsia="en-US"/>
        </w:rPr>
        <w:t xml:space="preserve">ecreto </w:t>
      </w:r>
      <w:r>
        <w:rPr>
          <w:rFonts w:ascii="Century Gothic" w:eastAsiaTheme="minorHAnsi" w:hAnsi="Century Gothic" w:cstheme="minorBidi"/>
          <w:lang w:eastAsia="en-US"/>
        </w:rPr>
        <w:t>d</w:t>
      </w:r>
      <w:r w:rsidRPr="00E96A99">
        <w:rPr>
          <w:rFonts w:ascii="Century Gothic" w:eastAsiaTheme="minorHAnsi" w:hAnsi="Century Gothic" w:cstheme="minorBidi"/>
          <w:lang w:eastAsia="en-US"/>
        </w:rPr>
        <w:t xml:space="preserve">el Presidente </w:t>
      </w:r>
      <w:r>
        <w:rPr>
          <w:rFonts w:ascii="Century Gothic" w:eastAsiaTheme="minorHAnsi" w:hAnsi="Century Gothic" w:cstheme="minorBidi"/>
          <w:lang w:eastAsia="en-US"/>
        </w:rPr>
        <w:t>de</w:t>
      </w:r>
      <w:r w:rsidRPr="00E96A99">
        <w:rPr>
          <w:rFonts w:ascii="Century Gothic" w:eastAsiaTheme="minorHAnsi" w:hAnsi="Century Gothic" w:cstheme="minorBidi"/>
          <w:lang w:eastAsia="en-US"/>
        </w:rPr>
        <w:t xml:space="preserve">l Consiglio </w:t>
      </w:r>
      <w:r>
        <w:rPr>
          <w:rFonts w:ascii="Century Gothic" w:eastAsiaTheme="minorHAnsi" w:hAnsi="Century Gothic" w:cstheme="minorBidi"/>
          <w:lang w:eastAsia="en-US"/>
        </w:rPr>
        <w:t>d</w:t>
      </w:r>
      <w:r w:rsidRPr="00E96A99">
        <w:rPr>
          <w:rFonts w:ascii="Century Gothic" w:eastAsiaTheme="minorHAnsi" w:hAnsi="Century Gothic" w:cstheme="minorBidi"/>
          <w:lang w:eastAsia="en-US"/>
        </w:rPr>
        <w:t xml:space="preserve">ei Ministri 18 ottobre 2020 recante “Ulteriori disposizioni attuative </w:t>
      </w:r>
      <w:r w:rsidRPr="00E96A99">
        <w:rPr>
          <w:rFonts w:ascii="Century Gothic" w:eastAsiaTheme="minorHAnsi" w:hAnsi="Century Gothic" w:cstheme="minorBidi"/>
          <w:lang w:eastAsia="en-US"/>
        </w:rPr>
        <w:lastRenderedPageBreak/>
        <w:t xml:space="preserve">del decreto-legge 25 marzo 2020, n. 19, convertito, con modificazioni, dalla legge 25 maggio 2020, n. 35, recante «Misure urgenti per fronteggiare l’emergenza epidemiologica da COVID-19», e del decreto-legge 16 maggio 2020, n. 33, convertito, con modificazioni, dalla legge 14 luglio 2020, n. 74, recante «Ulteriori misure urgenti per fronteggiare l’emergenza epidemiologica da COVID-19» </w:t>
      </w:r>
      <w:r w:rsidRPr="00E96A99">
        <w:rPr>
          <w:rFonts w:ascii="Century Gothic" w:hAnsi="Century Gothic"/>
        </w:rPr>
        <w:t>pubblicato</w:t>
      </w:r>
      <w:r w:rsidRPr="00A96C32">
        <w:rPr>
          <w:rFonts w:ascii="Century Gothic" w:hAnsi="Century Gothic"/>
        </w:rPr>
        <w:t xml:space="preserve"> nella Gazzetta Ufficiale della Repubblica italiana 1</w:t>
      </w:r>
      <w:r>
        <w:rPr>
          <w:rFonts w:ascii="Century Gothic" w:hAnsi="Century Gothic"/>
        </w:rPr>
        <w:t>8</w:t>
      </w:r>
      <w:r w:rsidRPr="00A96C32">
        <w:rPr>
          <w:rFonts w:ascii="Century Gothic" w:hAnsi="Century Gothic"/>
        </w:rPr>
        <w:t xml:space="preserve"> ottobre 2020, n. 25</w:t>
      </w:r>
      <w:r>
        <w:rPr>
          <w:rFonts w:ascii="Century Gothic" w:hAnsi="Century Gothic"/>
        </w:rPr>
        <w:t>8</w:t>
      </w:r>
      <w:r w:rsidRPr="00A96C32">
        <w:rPr>
          <w:rFonts w:ascii="Century Gothic" w:hAnsi="Century Gothic"/>
        </w:rPr>
        <w:t>;</w:t>
      </w:r>
    </w:p>
    <w:p w14:paraId="2BC7096B" w14:textId="64318353" w:rsidR="00C177AD" w:rsidRPr="00A96C32" w:rsidRDefault="00C177AD" w:rsidP="00371195">
      <w:pPr>
        <w:pStyle w:val="NormaleWeb"/>
        <w:spacing w:before="0" w:beforeAutospacing="0" w:after="0" w:line="360" w:lineRule="auto"/>
        <w:jc w:val="both"/>
        <w:rPr>
          <w:rFonts w:ascii="Century Gothic" w:hAnsi="Century Gothic"/>
        </w:rPr>
      </w:pPr>
      <w:r w:rsidRPr="00A96C32">
        <w:rPr>
          <w:rFonts w:ascii="Century Gothic" w:hAnsi="Century Gothic"/>
          <w:b/>
          <w:bCs/>
        </w:rPr>
        <w:t>VISTA</w:t>
      </w:r>
      <w:r w:rsidRPr="00A96C32">
        <w:rPr>
          <w:rFonts w:ascii="Century Gothic" w:hAnsi="Century Gothic"/>
        </w:rPr>
        <w:t xml:space="preserve"> l’ordinanza del Ministro della salute 12 agosto 2020, recante «Ulteriori misure urgenti in materia di contenimento e gestione dell’emergenza epidemiologica da COVID-19», pubblicata nella Gazzetta Ufficiale della Repubblica italiana 13 agosto 2020, n. 202;</w:t>
      </w:r>
    </w:p>
    <w:p w14:paraId="0DC107A5" w14:textId="313B18FD" w:rsidR="00C177AD" w:rsidRPr="00A96C32" w:rsidRDefault="00C177AD" w:rsidP="00371195">
      <w:pPr>
        <w:pStyle w:val="NormaleWeb"/>
        <w:spacing w:before="0" w:beforeAutospacing="0" w:after="0" w:line="360" w:lineRule="auto"/>
        <w:jc w:val="both"/>
        <w:rPr>
          <w:rFonts w:ascii="Century Gothic" w:hAnsi="Century Gothic"/>
        </w:rPr>
      </w:pPr>
      <w:r w:rsidRPr="00A96C32">
        <w:rPr>
          <w:rFonts w:ascii="Century Gothic" w:hAnsi="Century Gothic"/>
          <w:b/>
          <w:bCs/>
        </w:rPr>
        <w:lastRenderedPageBreak/>
        <w:t>VISTA</w:t>
      </w:r>
      <w:r w:rsidRPr="00A96C32">
        <w:rPr>
          <w:rFonts w:ascii="Century Gothic" w:hAnsi="Century Gothic"/>
        </w:rPr>
        <w:t xml:space="preserve"> l’ordinanza del Ministro della salute 16 agosto 2020, recante «Ulteriori misure urgenti in materia di contenimento e gestione dell’emergenza epidemiologica da COVID-19», pubblicata nella Gazzetta Ufficiale della Repubblica italiana 17 agosto 2020, n. 204;</w:t>
      </w:r>
    </w:p>
    <w:p w14:paraId="414EFA24" w14:textId="1323056E" w:rsidR="00C177AD" w:rsidRPr="00A96C32" w:rsidRDefault="00A66E20" w:rsidP="00371195">
      <w:pPr>
        <w:pStyle w:val="NormaleWeb"/>
        <w:spacing w:before="0" w:beforeAutospacing="0" w:after="0" w:line="360" w:lineRule="auto"/>
        <w:jc w:val="both"/>
        <w:rPr>
          <w:rFonts w:ascii="Century Gothic" w:hAnsi="Century Gothic"/>
        </w:rPr>
      </w:pPr>
      <w:r w:rsidRPr="00A96C32">
        <w:rPr>
          <w:rFonts w:ascii="Century Gothic" w:hAnsi="Century Gothic"/>
          <w:b/>
          <w:bCs/>
        </w:rPr>
        <w:t>VISTA</w:t>
      </w:r>
      <w:r w:rsidRPr="00A96C32">
        <w:rPr>
          <w:rFonts w:ascii="Century Gothic" w:hAnsi="Century Gothic"/>
        </w:rPr>
        <w:t xml:space="preserve"> </w:t>
      </w:r>
      <w:r w:rsidR="00C177AD" w:rsidRPr="00A96C32">
        <w:rPr>
          <w:rFonts w:ascii="Century Gothic" w:hAnsi="Century Gothic"/>
        </w:rPr>
        <w:t>l’ordinanza del Ministro della salute 21 settembre 2020, recante «Ulteriori misure urgenti in materia di contenimento e gestione dell’emergenza epidemiologica da COVID-19», pubblicata nella Gazzetta Ufficiale della Repubblica italiana 21 settembre 2020, n. 234;</w:t>
      </w:r>
    </w:p>
    <w:p w14:paraId="0DDF0F92" w14:textId="67F5626F" w:rsidR="00C177AD" w:rsidRPr="00A96C32" w:rsidRDefault="00A66E20" w:rsidP="00371195">
      <w:pPr>
        <w:pStyle w:val="NormaleWeb"/>
        <w:spacing w:before="0" w:beforeAutospacing="0" w:after="0" w:line="360" w:lineRule="auto"/>
        <w:jc w:val="both"/>
        <w:rPr>
          <w:rFonts w:ascii="Century Gothic" w:hAnsi="Century Gothic"/>
        </w:rPr>
      </w:pPr>
      <w:r w:rsidRPr="00A96C32">
        <w:rPr>
          <w:rFonts w:ascii="Century Gothic" w:hAnsi="Century Gothic"/>
          <w:b/>
          <w:bCs/>
        </w:rPr>
        <w:t>VISTA</w:t>
      </w:r>
      <w:r w:rsidRPr="00A96C32">
        <w:rPr>
          <w:rFonts w:ascii="Century Gothic" w:hAnsi="Century Gothic"/>
        </w:rPr>
        <w:t xml:space="preserve"> </w:t>
      </w:r>
      <w:r w:rsidR="00C177AD" w:rsidRPr="00A96C32">
        <w:rPr>
          <w:rFonts w:ascii="Century Gothic" w:hAnsi="Century Gothic"/>
        </w:rPr>
        <w:t>l’ordinanza del Ministro della salute 25 settembre 2020, recante «Ulteriori misure urgenti in materia di contenimento e gestione dell’emergenza epidemiologica da COVID-19», pubblicata nella Gazzetta Ufficiale della Repubblica italiana 26 settembre 2020, n. 239;</w:t>
      </w:r>
    </w:p>
    <w:p w14:paraId="0514D11A" w14:textId="3CDEB34D" w:rsidR="00C177AD" w:rsidRPr="00A96C32" w:rsidRDefault="00A66E20" w:rsidP="00371195">
      <w:pPr>
        <w:pStyle w:val="NormaleWeb"/>
        <w:spacing w:before="0" w:beforeAutospacing="0" w:after="0" w:line="360" w:lineRule="auto"/>
        <w:jc w:val="both"/>
        <w:rPr>
          <w:rFonts w:ascii="Century Gothic" w:hAnsi="Century Gothic"/>
        </w:rPr>
      </w:pPr>
      <w:r w:rsidRPr="00A96C32">
        <w:rPr>
          <w:rFonts w:ascii="Century Gothic" w:hAnsi="Century Gothic"/>
          <w:b/>
          <w:bCs/>
        </w:rPr>
        <w:lastRenderedPageBreak/>
        <w:t>VISTA</w:t>
      </w:r>
      <w:r w:rsidRPr="00A96C32">
        <w:rPr>
          <w:rFonts w:ascii="Century Gothic" w:hAnsi="Century Gothic"/>
        </w:rPr>
        <w:t xml:space="preserve"> </w:t>
      </w:r>
      <w:r w:rsidR="00C177AD" w:rsidRPr="00A96C32">
        <w:rPr>
          <w:rFonts w:ascii="Century Gothic" w:hAnsi="Century Gothic"/>
        </w:rPr>
        <w:t>l’ordinanza del Ministro della salute 7 ottobre 2020 recante «Ulteriori misure urgenti in materia di contenimento e gestione dell’emergenza epidemiologica da COVID-19», pubblicata nella Gazzetta Ufficiale della Repubblica italiana 8 ottobre 2020, n. 249;</w:t>
      </w:r>
    </w:p>
    <w:p w14:paraId="5379BD2F" w14:textId="77777777" w:rsidR="00BE0B6F" w:rsidRPr="00A96C32" w:rsidRDefault="00BE0B6F" w:rsidP="00BE0B6F">
      <w:pPr>
        <w:pStyle w:val="NormaleWeb"/>
        <w:spacing w:before="0" w:beforeAutospacing="0" w:after="0" w:line="360" w:lineRule="auto"/>
        <w:jc w:val="both"/>
      </w:pPr>
      <w:r w:rsidRPr="00A96C32">
        <w:rPr>
          <w:rFonts w:ascii="Century Gothic" w:hAnsi="Century Gothic"/>
          <w:b/>
          <w:bCs/>
        </w:rPr>
        <w:t xml:space="preserve">VISTA </w:t>
      </w:r>
      <w:r w:rsidRPr="00A96C32">
        <w:rPr>
          <w:rFonts w:ascii="Century Gothic" w:hAnsi="Century Gothic"/>
        </w:rPr>
        <w:t>la circolare n. 22 del 20 maggio 2020 dell’INAIL, che valorizza le linee guida anche regionali in quanto conformi all’art. 1, comma 14, decreto-legge n. 33/2020;</w:t>
      </w:r>
    </w:p>
    <w:p w14:paraId="302BD39F" w14:textId="579A407A" w:rsidR="00D46ABE" w:rsidRPr="00A96C32" w:rsidRDefault="00D46ABE" w:rsidP="00371195">
      <w:pPr>
        <w:pStyle w:val="NormaleWeb"/>
        <w:spacing w:before="0" w:beforeAutospacing="0" w:after="0" w:line="360" w:lineRule="auto"/>
        <w:jc w:val="both"/>
      </w:pPr>
      <w:r w:rsidRPr="00A96C32">
        <w:rPr>
          <w:rFonts w:ascii="Century Gothic" w:hAnsi="Century Gothic"/>
          <w:b/>
          <w:bCs/>
        </w:rPr>
        <w:t>VIST</w:t>
      </w:r>
      <w:r w:rsidR="00A66E20" w:rsidRPr="00A96C32">
        <w:rPr>
          <w:rFonts w:ascii="Century Gothic" w:hAnsi="Century Gothic"/>
          <w:b/>
          <w:bCs/>
        </w:rPr>
        <w:t>E</w:t>
      </w:r>
      <w:r w:rsidRPr="00A96C32">
        <w:rPr>
          <w:rFonts w:ascii="Century Gothic" w:hAnsi="Century Gothic"/>
          <w:b/>
          <w:bCs/>
        </w:rPr>
        <w:t xml:space="preserve"> </w:t>
      </w:r>
      <w:r w:rsidRPr="00A96C32">
        <w:rPr>
          <w:rFonts w:ascii="Century Gothic" w:hAnsi="Century Gothic"/>
        </w:rPr>
        <w:t>le “Linee guida per la riapertura delle attività economiche, produttive e ricreative”, approvate</w:t>
      </w:r>
      <w:r w:rsidR="00C177AD" w:rsidRPr="00A96C32">
        <w:rPr>
          <w:rFonts w:ascii="Century Gothic" w:hAnsi="Century Gothic"/>
        </w:rPr>
        <w:t>, a seguito di aggiornamento delle schede su Noleggio veicoli e Formazione professionale,</w:t>
      </w:r>
      <w:r w:rsidRPr="00A96C32">
        <w:rPr>
          <w:rFonts w:ascii="Century Gothic" w:hAnsi="Century Gothic"/>
        </w:rPr>
        <w:t xml:space="preserve"> </w:t>
      </w:r>
      <w:r w:rsidR="00A66E20" w:rsidRPr="00A96C32">
        <w:rPr>
          <w:rFonts w:ascii="Century Gothic" w:hAnsi="Century Gothic"/>
        </w:rPr>
        <w:t xml:space="preserve">da ultimo </w:t>
      </w:r>
      <w:r w:rsidRPr="00A96C32">
        <w:rPr>
          <w:rFonts w:ascii="Century Gothic" w:hAnsi="Century Gothic"/>
        </w:rPr>
        <w:t xml:space="preserve">in data </w:t>
      </w:r>
      <w:r w:rsidR="00C177AD" w:rsidRPr="00A96C32">
        <w:rPr>
          <w:rFonts w:ascii="Century Gothic" w:hAnsi="Century Gothic"/>
        </w:rPr>
        <w:t>8 ottobre</w:t>
      </w:r>
      <w:r w:rsidRPr="00A96C32">
        <w:rPr>
          <w:rFonts w:ascii="Century Gothic" w:hAnsi="Century Gothic"/>
        </w:rPr>
        <w:t xml:space="preserve"> 2020 dalla Conferenza delle Regioni e province autonome </w:t>
      </w:r>
      <w:r w:rsidR="00A66E20" w:rsidRPr="00A96C32">
        <w:rPr>
          <w:rFonts w:ascii="Century Gothic" w:hAnsi="Century Gothic"/>
        </w:rPr>
        <w:t xml:space="preserve">ed </w:t>
      </w:r>
      <w:r w:rsidRPr="00A96C32">
        <w:rPr>
          <w:rFonts w:ascii="Century Gothic" w:hAnsi="Century Gothic"/>
        </w:rPr>
        <w:t xml:space="preserve">allegate al </w:t>
      </w:r>
      <w:proofErr w:type="gramStart"/>
      <w:r w:rsidRPr="00A96C32">
        <w:rPr>
          <w:rFonts w:ascii="Century Gothic" w:hAnsi="Century Gothic"/>
        </w:rPr>
        <w:t>predetto</w:t>
      </w:r>
      <w:proofErr w:type="gramEnd"/>
      <w:r w:rsidRPr="00A96C32">
        <w:rPr>
          <w:rFonts w:ascii="Century Gothic" w:hAnsi="Century Gothic"/>
        </w:rPr>
        <w:t xml:space="preserve"> DPCM del </w:t>
      </w:r>
      <w:r w:rsidR="00A66E20" w:rsidRPr="00A96C32">
        <w:rPr>
          <w:rFonts w:ascii="Century Gothic" w:hAnsi="Century Gothic"/>
        </w:rPr>
        <w:t>13 ottobre</w:t>
      </w:r>
      <w:r w:rsidRPr="00A96C32">
        <w:rPr>
          <w:rFonts w:ascii="Century Gothic" w:hAnsi="Century Gothic"/>
        </w:rPr>
        <w:t xml:space="preserve"> 2020;</w:t>
      </w:r>
    </w:p>
    <w:p w14:paraId="1C624804" w14:textId="77777777" w:rsidR="00D46ABE" w:rsidRPr="00A96C32" w:rsidRDefault="00D46ABE" w:rsidP="00371195">
      <w:pPr>
        <w:pStyle w:val="NormaleWeb"/>
        <w:spacing w:before="0" w:beforeAutospacing="0" w:after="0" w:line="360" w:lineRule="auto"/>
        <w:jc w:val="both"/>
      </w:pPr>
      <w:r w:rsidRPr="00A96C32">
        <w:rPr>
          <w:rFonts w:ascii="Century Gothic" w:hAnsi="Century Gothic"/>
          <w:b/>
          <w:bCs/>
        </w:rPr>
        <w:lastRenderedPageBreak/>
        <w:t xml:space="preserve">RITENUTO </w:t>
      </w:r>
      <w:r w:rsidRPr="00A96C32">
        <w:rPr>
          <w:rFonts w:ascii="Century Gothic" w:hAnsi="Century Gothic"/>
        </w:rPr>
        <w:t>di confermare le sopracitate Linee guida, con gli opportuni adattamenti al contesto e alle disposizioni specifiche per la prevenzione e il contenimento del contagio in Regione Lombardia, come da allegato n. 1 della presente Ordinanza;</w:t>
      </w:r>
    </w:p>
    <w:p w14:paraId="6A060F40" w14:textId="77777777" w:rsidR="009D04A2" w:rsidRPr="00A96C32" w:rsidRDefault="009D04A2" w:rsidP="00371195">
      <w:pPr>
        <w:pStyle w:val="NormaleWeb"/>
        <w:spacing w:before="0" w:beforeAutospacing="0" w:after="0" w:line="360" w:lineRule="auto"/>
        <w:jc w:val="both"/>
      </w:pPr>
      <w:r w:rsidRPr="00A96C32">
        <w:rPr>
          <w:rFonts w:ascii="Century Gothic" w:hAnsi="Century Gothic"/>
          <w:b/>
          <w:bCs/>
        </w:rPr>
        <w:t xml:space="preserve">VISTO </w:t>
      </w:r>
      <w:r w:rsidRPr="00A96C32">
        <w:rPr>
          <w:rFonts w:ascii="Century Gothic" w:hAnsi="Century Gothic"/>
        </w:rPr>
        <w:t>il decreto del Ministero della Salute del 30 aprile 2020 avente ad oggetto «Emergenza COVID-19: attività di monitoraggio del rischio sanitario connesse al passaggio dalla fase 1 alla fase 2 di cui all’allegato 10 del D.P.C.M. 26 aprile 2020»;</w:t>
      </w:r>
    </w:p>
    <w:p w14:paraId="7FB06E19" w14:textId="4D4744FA" w:rsidR="00486C99" w:rsidRPr="00A96C32" w:rsidRDefault="00486C99" w:rsidP="00D571BE">
      <w:pPr>
        <w:pStyle w:val="NormaleWeb"/>
        <w:spacing w:before="0" w:beforeAutospacing="0" w:after="0" w:line="360" w:lineRule="auto"/>
        <w:jc w:val="both"/>
        <w:rPr>
          <w:rFonts w:ascii="Century Gothic" w:hAnsi="Century Gothic"/>
          <w:b/>
          <w:bCs/>
        </w:rPr>
      </w:pPr>
      <w:r w:rsidRPr="00A96C32">
        <w:rPr>
          <w:rFonts w:ascii="Century Gothic" w:hAnsi="Century Gothic"/>
          <w:b/>
          <w:bCs/>
        </w:rPr>
        <w:t>VISTA</w:t>
      </w:r>
      <w:r w:rsidRPr="00A96C32">
        <w:rPr>
          <w:rFonts w:ascii="Century Gothic" w:hAnsi="Century Gothic"/>
        </w:rPr>
        <w:t xml:space="preserve"> l’Ordinanza n. 619 del 15 ottobre 2020</w:t>
      </w:r>
      <w:r w:rsidR="00FC1090">
        <w:rPr>
          <w:rFonts w:ascii="Century Gothic" w:hAnsi="Century Gothic"/>
        </w:rPr>
        <w:t xml:space="preserve"> e n. 620 del 16 ottobre 2020</w:t>
      </w:r>
      <w:r w:rsidR="000A69DE" w:rsidRPr="00A96C32">
        <w:rPr>
          <w:rFonts w:ascii="Century Gothic" w:hAnsi="Century Gothic"/>
        </w:rPr>
        <w:t>;</w:t>
      </w:r>
    </w:p>
    <w:p w14:paraId="2A721E9D" w14:textId="77777777" w:rsidR="00431541" w:rsidRPr="00D1780C" w:rsidRDefault="00431541" w:rsidP="00431541">
      <w:pPr>
        <w:pStyle w:val="NormaleWeb"/>
        <w:spacing w:before="0" w:beforeAutospacing="0" w:after="0" w:line="360" w:lineRule="auto"/>
        <w:jc w:val="both"/>
        <w:rPr>
          <w:rFonts w:ascii="Century Gothic" w:eastAsiaTheme="minorHAnsi" w:hAnsi="Century Gothic" w:cstheme="minorBidi"/>
          <w:lang w:eastAsia="en-US"/>
        </w:rPr>
      </w:pPr>
      <w:r w:rsidRPr="00B771E7">
        <w:rPr>
          <w:rFonts w:ascii="Century Gothic" w:eastAsiaTheme="minorHAnsi" w:hAnsi="Century Gothic" w:cstheme="minorBidi"/>
          <w:b/>
          <w:bCs/>
          <w:lang w:eastAsia="en-US"/>
        </w:rPr>
        <w:t>VISTE</w:t>
      </w:r>
      <w:r w:rsidRPr="00D1780C">
        <w:rPr>
          <w:rFonts w:ascii="Century Gothic" w:eastAsiaTheme="minorHAnsi" w:hAnsi="Century Gothic" w:cstheme="minorBidi"/>
          <w:lang w:eastAsia="en-US"/>
        </w:rPr>
        <w:t xml:space="preserve"> le delibere del Consiglio dei ministri del 31 gennaio</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2020, del 29 luglio 2020 e del 7 ottobre 2020 con le</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 xml:space="preserve">quali </w:t>
      </w:r>
      <w:r w:rsidRPr="00D1780C">
        <w:rPr>
          <w:rFonts w:ascii="Century Gothic" w:eastAsiaTheme="minorHAnsi" w:hAnsi="Century Gothic" w:cstheme="minorBidi"/>
          <w:lang w:eastAsia="en-US"/>
        </w:rPr>
        <w:lastRenderedPageBreak/>
        <w:t>è stato dichiarato e prorogato lo stato di emergenza</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sul territorio nazionale relativo al rischio sanitario connesso</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all’insorgenza di patologie derivanti da agenti virali</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trasmissibili;</w:t>
      </w:r>
    </w:p>
    <w:p w14:paraId="770D39D5" w14:textId="77777777" w:rsidR="00431541" w:rsidRPr="00D1780C" w:rsidRDefault="00431541" w:rsidP="00431541">
      <w:pPr>
        <w:pStyle w:val="NormaleWeb"/>
        <w:spacing w:before="0" w:beforeAutospacing="0" w:after="0" w:line="360" w:lineRule="auto"/>
        <w:jc w:val="both"/>
        <w:rPr>
          <w:rFonts w:ascii="Century Gothic" w:eastAsiaTheme="minorHAnsi" w:hAnsi="Century Gothic" w:cstheme="minorBidi"/>
          <w:lang w:eastAsia="en-US"/>
        </w:rPr>
      </w:pPr>
      <w:r w:rsidRPr="00B771E7">
        <w:rPr>
          <w:rFonts w:ascii="Century Gothic" w:eastAsiaTheme="minorHAnsi" w:hAnsi="Century Gothic" w:cstheme="minorBidi"/>
          <w:b/>
          <w:bCs/>
          <w:lang w:eastAsia="en-US"/>
        </w:rPr>
        <w:t>VISTA</w:t>
      </w:r>
      <w:r w:rsidRPr="00D1780C">
        <w:rPr>
          <w:rFonts w:ascii="Century Gothic" w:eastAsiaTheme="minorHAnsi" w:hAnsi="Century Gothic" w:cstheme="minorBidi"/>
          <w:lang w:eastAsia="en-US"/>
        </w:rPr>
        <w:t xml:space="preserve"> la dichiarazione dell’Organizzazione mondiale</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della sanità dell’11 marzo 2020 con la quale l’epidemia</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da COVID-19 è stata valutata come «pandemia» in considerazione</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dei livelli di diffusività e gravità raggiunti a</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livello globale;</w:t>
      </w:r>
    </w:p>
    <w:p w14:paraId="5170A78C" w14:textId="77777777" w:rsidR="00431541" w:rsidRDefault="00431541" w:rsidP="00431541">
      <w:pPr>
        <w:pStyle w:val="NormaleWeb"/>
        <w:spacing w:before="0" w:beforeAutospacing="0" w:after="0" w:line="360" w:lineRule="auto"/>
        <w:jc w:val="both"/>
        <w:rPr>
          <w:rFonts w:ascii="Century Gothic" w:eastAsiaTheme="minorHAnsi" w:hAnsi="Century Gothic" w:cstheme="minorBidi"/>
          <w:lang w:eastAsia="en-US"/>
        </w:rPr>
      </w:pPr>
      <w:r w:rsidRPr="00B771E7">
        <w:rPr>
          <w:rFonts w:ascii="Century Gothic" w:eastAsiaTheme="minorHAnsi" w:hAnsi="Century Gothic" w:cstheme="minorBidi"/>
          <w:b/>
          <w:bCs/>
          <w:lang w:eastAsia="en-US"/>
        </w:rPr>
        <w:t>CONSIDERATI</w:t>
      </w:r>
      <w:r w:rsidRPr="00D1780C">
        <w:rPr>
          <w:rFonts w:ascii="Century Gothic" w:eastAsiaTheme="minorHAnsi" w:hAnsi="Century Gothic" w:cstheme="minorBidi"/>
          <w:lang w:eastAsia="en-US"/>
        </w:rPr>
        <w:t xml:space="preserve"> l’evolversi della situazione epidemiologica,</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il carattere particolarmente diffusivo dell’epidemia e</w:t>
      </w:r>
      <w:r>
        <w:rPr>
          <w:rFonts w:ascii="Century Gothic" w:eastAsiaTheme="minorHAnsi" w:hAnsi="Century Gothic" w:cstheme="minorBidi"/>
          <w:lang w:eastAsia="en-US"/>
        </w:rPr>
        <w:t xml:space="preserve"> </w:t>
      </w:r>
      <w:r w:rsidRPr="00D1780C">
        <w:rPr>
          <w:rFonts w:ascii="Century Gothic" w:eastAsiaTheme="minorHAnsi" w:hAnsi="Century Gothic" w:cstheme="minorBidi"/>
          <w:lang w:eastAsia="en-US"/>
        </w:rPr>
        <w:t xml:space="preserve">l’incremento dei casi sul territorio </w:t>
      </w:r>
      <w:r>
        <w:rPr>
          <w:rFonts w:ascii="Century Gothic" w:eastAsiaTheme="minorHAnsi" w:hAnsi="Century Gothic" w:cstheme="minorBidi"/>
          <w:lang w:eastAsia="en-US"/>
        </w:rPr>
        <w:t>nazionale</w:t>
      </w:r>
      <w:r w:rsidRPr="00D1780C">
        <w:rPr>
          <w:rFonts w:ascii="Century Gothic" w:eastAsiaTheme="minorHAnsi" w:hAnsi="Century Gothic" w:cstheme="minorBidi"/>
          <w:lang w:eastAsia="en-US"/>
        </w:rPr>
        <w:t xml:space="preserve">;  </w:t>
      </w:r>
    </w:p>
    <w:p w14:paraId="69D899C5" w14:textId="77777777" w:rsidR="00431541" w:rsidRPr="00A96C32" w:rsidRDefault="00431541" w:rsidP="00431541">
      <w:pPr>
        <w:pStyle w:val="NormaleWeb"/>
        <w:spacing w:before="0" w:beforeAutospacing="0" w:after="0" w:line="360" w:lineRule="auto"/>
        <w:jc w:val="both"/>
        <w:rPr>
          <w:rFonts w:ascii="Century Gothic" w:hAnsi="Century Gothic"/>
        </w:rPr>
      </w:pPr>
      <w:r w:rsidRPr="00A96C32">
        <w:rPr>
          <w:rFonts w:ascii="Century Gothic" w:hAnsi="Century Gothic"/>
          <w:b/>
          <w:bCs/>
        </w:rPr>
        <w:t xml:space="preserve">RILEVATO </w:t>
      </w:r>
      <w:r w:rsidRPr="00A96C32">
        <w:rPr>
          <w:rFonts w:ascii="Century Gothic" w:hAnsi="Century Gothic"/>
        </w:rPr>
        <w:t>che, in base al report di monitoraggio dell’Istituto superiore di sanità (ISS) del 16 ottobre 2020, la Regione Lombardia è classificata a rischio moderato;</w:t>
      </w:r>
    </w:p>
    <w:p w14:paraId="35901AB2" w14:textId="77777777" w:rsidR="00431541" w:rsidRPr="00A96C32" w:rsidRDefault="00431541" w:rsidP="00431541">
      <w:pPr>
        <w:pStyle w:val="NormaleWeb"/>
        <w:spacing w:before="0" w:beforeAutospacing="0" w:after="0" w:line="360" w:lineRule="auto"/>
        <w:jc w:val="both"/>
        <w:rPr>
          <w:rFonts w:ascii="Century Gothic" w:hAnsi="Century Gothic"/>
        </w:rPr>
      </w:pPr>
      <w:r w:rsidRPr="00A96C32">
        <w:rPr>
          <w:rFonts w:ascii="Century Gothic" w:hAnsi="Century Gothic"/>
          <w:b/>
          <w:bCs/>
        </w:rPr>
        <w:lastRenderedPageBreak/>
        <w:t>CONSIDERATO</w:t>
      </w:r>
      <w:r w:rsidRPr="00A96C32">
        <w:rPr>
          <w:rFonts w:ascii="Century Gothic" w:hAnsi="Century Gothic"/>
        </w:rPr>
        <w:t xml:space="preserve"> che: </w:t>
      </w:r>
    </w:p>
    <w:p w14:paraId="745CE95D" w14:textId="77777777" w:rsidR="00431541" w:rsidRPr="00ED191E" w:rsidRDefault="00431541" w:rsidP="00431541">
      <w:pPr>
        <w:pStyle w:val="NormaleWeb"/>
        <w:numPr>
          <w:ilvl w:val="0"/>
          <w:numId w:val="14"/>
        </w:numPr>
        <w:spacing w:before="0" w:beforeAutospacing="0" w:after="0" w:line="360" w:lineRule="auto"/>
        <w:jc w:val="both"/>
        <w:rPr>
          <w:rFonts w:ascii="Century Gothic" w:hAnsi="Century Gothic"/>
          <w:color w:val="FF0000"/>
        </w:rPr>
      </w:pPr>
      <w:r w:rsidRPr="0013050C">
        <w:rPr>
          <w:rFonts w:ascii="Century Gothic" w:hAnsi="Century Gothic"/>
        </w:rPr>
        <w:t xml:space="preserve">in </w:t>
      </w:r>
      <w:r w:rsidRPr="00A96C32">
        <w:rPr>
          <w:rFonts w:ascii="Century Gothic" w:hAnsi="Century Gothic"/>
        </w:rPr>
        <w:t xml:space="preserve">base al quotidiano monitoraggio dei casi COVID-19 e dei relativi ricoveri, si evidenzia dall’inizio di ottobre 2020 una crescita continua a livello regionale dei contagi, pur in presenza di un significativo incremento delle capacità di testing, con valori RT per ricovero ospedaliero calcolato dall’ISS per la settimana 5-11 ottobre 2020 pari a 1.68 e </w:t>
      </w:r>
      <w:r w:rsidRPr="00ED191E">
        <w:rPr>
          <w:rFonts w:ascii="Century Gothic" w:hAnsi="Century Gothic"/>
        </w:rPr>
        <w:t>che per la settimana 12- 18 ottobre 2020 si stima un dato in aumento;</w:t>
      </w:r>
    </w:p>
    <w:p w14:paraId="2B7198A9" w14:textId="77777777" w:rsidR="00431541" w:rsidRPr="00502556" w:rsidRDefault="00431541" w:rsidP="00431541">
      <w:pPr>
        <w:pStyle w:val="NormaleWeb"/>
        <w:numPr>
          <w:ilvl w:val="0"/>
          <w:numId w:val="14"/>
        </w:numPr>
        <w:spacing w:before="0" w:beforeAutospacing="0" w:after="0" w:line="360" w:lineRule="auto"/>
        <w:jc w:val="both"/>
        <w:rPr>
          <w:rFonts w:ascii="Century Gothic" w:hAnsi="Century Gothic"/>
        </w:rPr>
      </w:pPr>
      <w:r w:rsidRPr="00A96C32">
        <w:rPr>
          <w:rFonts w:ascii="Century Gothic" w:hAnsi="Century Gothic"/>
        </w:rPr>
        <w:t xml:space="preserve">il dato di casi medi giornaliero è stato di 708 per la settimana 5-11 ottobre 2020 (266 la settimana precedente) ed è di </w:t>
      </w:r>
      <w:r w:rsidRPr="00502556">
        <w:rPr>
          <w:rFonts w:ascii="Century Gothic" w:hAnsi="Century Gothic"/>
        </w:rPr>
        <w:t>1964 per il periodo 12-18 ottobre;</w:t>
      </w:r>
    </w:p>
    <w:p w14:paraId="3FFA593F" w14:textId="77777777" w:rsidR="00431541" w:rsidRPr="00A96C32" w:rsidRDefault="00431541" w:rsidP="00431541">
      <w:pPr>
        <w:pStyle w:val="NormaleWeb"/>
        <w:numPr>
          <w:ilvl w:val="0"/>
          <w:numId w:val="14"/>
        </w:numPr>
        <w:spacing w:before="0" w:beforeAutospacing="0" w:after="0" w:line="360" w:lineRule="auto"/>
        <w:jc w:val="both"/>
        <w:rPr>
          <w:rFonts w:ascii="Century Gothic" w:hAnsi="Century Gothic"/>
        </w:rPr>
      </w:pPr>
      <w:r w:rsidRPr="00A96C32">
        <w:rPr>
          <w:rFonts w:ascii="Century Gothic" w:hAnsi="Century Gothic"/>
        </w:rPr>
        <w:t xml:space="preserve">il numero complessivo degli attualmente positivi è </w:t>
      </w:r>
      <w:r>
        <w:rPr>
          <w:rFonts w:ascii="Century Gothic" w:hAnsi="Century Gothic"/>
        </w:rPr>
        <w:t>26634</w:t>
      </w:r>
      <w:r w:rsidRPr="00A96C32">
        <w:rPr>
          <w:rFonts w:ascii="Century Gothic" w:hAnsi="Century Gothic"/>
        </w:rPr>
        <w:t xml:space="preserve">, di cui </w:t>
      </w:r>
      <w:r>
        <w:rPr>
          <w:rFonts w:ascii="Century Gothic" w:hAnsi="Century Gothic"/>
        </w:rPr>
        <w:t>1136</w:t>
      </w:r>
      <w:r w:rsidRPr="00A96C32">
        <w:rPr>
          <w:rFonts w:ascii="Century Gothic" w:hAnsi="Century Gothic"/>
        </w:rPr>
        <w:t xml:space="preserve"> in regime di ricovero non in </w:t>
      </w:r>
      <w:r w:rsidRPr="00A96C32">
        <w:rPr>
          <w:rFonts w:ascii="Century Gothic" w:hAnsi="Century Gothic"/>
        </w:rPr>
        <w:lastRenderedPageBreak/>
        <w:t>terapia intensiva (</w:t>
      </w:r>
      <w:bookmarkStart w:id="0" w:name="_Hlk53658935"/>
      <w:r w:rsidRPr="00A96C32">
        <w:rPr>
          <w:rFonts w:ascii="Century Gothic" w:hAnsi="Century Gothic"/>
        </w:rPr>
        <w:t>l’8 ottobre 2020 erano 361</w:t>
      </w:r>
      <w:bookmarkEnd w:id="0"/>
      <w:r w:rsidRPr="00A96C32">
        <w:rPr>
          <w:rFonts w:ascii="Century Gothic" w:hAnsi="Century Gothic"/>
        </w:rPr>
        <w:t xml:space="preserve">) e </w:t>
      </w:r>
      <w:r>
        <w:rPr>
          <w:rFonts w:ascii="Century Gothic" w:hAnsi="Century Gothic"/>
        </w:rPr>
        <w:t xml:space="preserve">113 </w:t>
      </w:r>
      <w:r w:rsidRPr="00A96C32">
        <w:rPr>
          <w:rFonts w:ascii="Century Gothic" w:hAnsi="Century Gothic"/>
        </w:rPr>
        <w:t>in terapia intensiva (l’8 ottobre scorso, 41);</w:t>
      </w:r>
    </w:p>
    <w:p w14:paraId="023E952A" w14:textId="77777777" w:rsidR="00431541" w:rsidRDefault="00431541" w:rsidP="00431541">
      <w:pPr>
        <w:pStyle w:val="NormaleWeb"/>
        <w:numPr>
          <w:ilvl w:val="0"/>
          <w:numId w:val="14"/>
        </w:numPr>
        <w:spacing w:before="0" w:beforeAutospacing="0" w:after="0" w:line="360" w:lineRule="auto"/>
        <w:jc w:val="both"/>
        <w:rPr>
          <w:rFonts w:ascii="Century Gothic" w:hAnsi="Century Gothic"/>
        </w:rPr>
      </w:pPr>
      <w:r w:rsidRPr="00A96C32">
        <w:rPr>
          <w:rFonts w:ascii="Century Gothic" w:hAnsi="Century Gothic"/>
        </w:rPr>
        <w:t xml:space="preserve">per il periodo </w:t>
      </w:r>
      <w:r w:rsidRPr="00940428">
        <w:rPr>
          <w:rFonts w:ascii="Century Gothic" w:hAnsi="Century Gothic"/>
        </w:rPr>
        <w:t>12-18</w:t>
      </w:r>
      <w:r w:rsidRPr="00A96C32">
        <w:rPr>
          <w:rFonts w:ascii="Century Gothic" w:hAnsi="Century Gothic"/>
        </w:rPr>
        <w:t xml:space="preserve"> ottobre 2020 l’incidenza media giornaliera a livello regionale è </w:t>
      </w:r>
      <w:r w:rsidRPr="00940428">
        <w:rPr>
          <w:rFonts w:ascii="Century Gothic" w:hAnsi="Century Gothic"/>
        </w:rPr>
        <w:t xml:space="preserve">di </w:t>
      </w:r>
      <w:r>
        <w:rPr>
          <w:rFonts w:ascii="Century Gothic" w:hAnsi="Century Gothic"/>
        </w:rPr>
        <w:t>16,4</w:t>
      </w:r>
      <w:r w:rsidRPr="00940428">
        <w:rPr>
          <w:rFonts w:ascii="Century Gothic" w:hAnsi="Century Gothic"/>
        </w:rPr>
        <w:t xml:space="preserve"> casi ogni 100.000 abitanti</w:t>
      </w:r>
      <w:r w:rsidRPr="00A96C32">
        <w:rPr>
          <w:rFonts w:ascii="Century Gothic" w:hAnsi="Century Gothic"/>
        </w:rPr>
        <w:t xml:space="preserve"> per la Regione Lombardia;</w:t>
      </w:r>
    </w:p>
    <w:p w14:paraId="35ED267A" w14:textId="77777777" w:rsidR="00431541" w:rsidRPr="00A96C32" w:rsidRDefault="00431541" w:rsidP="00431541">
      <w:pPr>
        <w:pStyle w:val="NormaleWeb"/>
        <w:spacing w:before="0" w:beforeAutospacing="0" w:after="0" w:line="360" w:lineRule="auto"/>
        <w:jc w:val="both"/>
        <w:rPr>
          <w:rFonts w:ascii="Century Gothic" w:hAnsi="Century Gothic"/>
        </w:rPr>
      </w:pPr>
      <w:r w:rsidRPr="00156DAB">
        <w:rPr>
          <w:rFonts w:ascii="Century Gothic" w:hAnsi="Century Gothic"/>
          <w:b/>
          <w:bCs/>
        </w:rPr>
        <w:t>CONSIDERATO</w:t>
      </w:r>
      <w:r w:rsidRPr="00156DAB">
        <w:rPr>
          <w:rFonts w:ascii="Century Gothic" w:hAnsi="Century Gothic"/>
        </w:rPr>
        <w:t xml:space="preserve"> che la “Commissione indicatori Covid-19 RL”, costituita con D</w:t>
      </w:r>
      <w:r>
        <w:rPr>
          <w:rFonts w:ascii="Century Gothic" w:hAnsi="Century Gothic"/>
        </w:rPr>
        <w:t>.</w:t>
      </w:r>
      <w:r w:rsidRPr="00156DAB">
        <w:rPr>
          <w:rFonts w:ascii="Century Gothic" w:hAnsi="Century Gothic"/>
        </w:rPr>
        <w:t>G</w:t>
      </w:r>
      <w:r>
        <w:rPr>
          <w:rFonts w:ascii="Century Gothic" w:hAnsi="Century Gothic"/>
        </w:rPr>
        <w:t>.</w:t>
      </w:r>
      <w:r w:rsidRPr="00156DAB">
        <w:rPr>
          <w:rFonts w:ascii="Century Gothic" w:hAnsi="Century Gothic"/>
        </w:rPr>
        <w:t>R</w:t>
      </w:r>
      <w:r>
        <w:rPr>
          <w:rFonts w:ascii="Century Gothic" w:hAnsi="Century Gothic"/>
        </w:rPr>
        <w:t>.</w:t>
      </w:r>
      <w:r w:rsidRPr="00156DAB">
        <w:rPr>
          <w:rFonts w:ascii="Century Gothic" w:hAnsi="Century Gothic"/>
        </w:rPr>
        <w:t xml:space="preserve"> 3243/2020 per la valutazione degli indicatori individuati nel decreto del Ministro della salute del 30 aprile 2020 con  il mandato conseguente di segnalare l’eventuale profilarsi di situazioni di rischio di aumentata diffusione della malattia che configurino la necessità di interventi limitativi, anche a valenza locale, ha evidenziato che al 31 ottobre – secondo la curva degli ultimi giorni - è plausibile che ci siano </w:t>
      </w:r>
      <w:r>
        <w:rPr>
          <w:rFonts w:ascii="Century Gothic" w:hAnsi="Century Gothic"/>
        </w:rPr>
        <w:t xml:space="preserve">mediamente </w:t>
      </w:r>
      <w:r w:rsidRPr="00156DAB">
        <w:rPr>
          <w:rFonts w:ascii="Century Gothic" w:hAnsi="Century Gothic"/>
        </w:rPr>
        <w:t xml:space="preserve">594 </w:t>
      </w:r>
      <w:r w:rsidRPr="00156DAB">
        <w:rPr>
          <w:rFonts w:ascii="Century Gothic" w:hAnsi="Century Gothic"/>
        </w:rPr>
        <w:lastRenderedPageBreak/>
        <w:t>(</w:t>
      </w:r>
      <w:r>
        <w:rPr>
          <w:rFonts w:ascii="Century Gothic" w:hAnsi="Century Gothic"/>
        </w:rPr>
        <w:t xml:space="preserve">range da </w:t>
      </w:r>
      <w:r w:rsidRPr="00156DAB">
        <w:rPr>
          <w:rFonts w:ascii="Century Gothic" w:hAnsi="Century Gothic"/>
        </w:rPr>
        <w:t>434</w:t>
      </w:r>
      <w:r>
        <w:rPr>
          <w:rFonts w:ascii="Century Gothic" w:hAnsi="Century Gothic"/>
        </w:rPr>
        <w:t xml:space="preserve"> a </w:t>
      </w:r>
      <w:r w:rsidRPr="00156DAB">
        <w:rPr>
          <w:rFonts w:ascii="Century Gothic" w:hAnsi="Century Gothic"/>
        </w:rPr>
        <w:t>815) ricoverati in terapia intensiva e fino a 4000 ricoveri non in terapia intensiva</w:t>
      </w:r>
      <w:r>
        <w:rPr>
          <w:rFonts w:ascii="Century Gothic" w:hAnsi="Century Gothic"/>
        </w:rPr>
        <w:t>;</w:t>
      </w:r>
    </w:p>
    <w:p w14:paraId="65E9F554" w14:textId="255765B6" w:rsidR="00431541" w:rsidRDefault="00431541" w:rsidP="00431541">
      <w:pPr>
        <w:pStyle w:val="NormaleWeb"/>
        <w:spacing w:before="0" w:beforeAutospacing="0" w:after="0" w:line="360" w:lineRule="auto"/>
        <w:jc w:val="both"/>
        <w:rPr>
          <w:rFonts w:ascii="Century Gothic" w:hAnsi="Century Gothic"/>
        </w:rPr>
      </w:pPr>
      <w:r w:rsidRPr="004C10E0">
        <w:rPr>
          <w:rFonts w:ascii="Century Gothic" w:hAnsi="Century Gothic"/>
          <w:b/>
          <w:bCs/>
        </w:rPr>
        <w:t>CONSIDERATO</w:t>
      </w:r>
      <w:r w:rsidRPr="004C10E0">
        <w:rPr>
          <w:rFonts w:ascii="Century Gothic" w:hAnsi="Century Gothic"/>
        </w:rPr>
        <w:t xml:space="preserve"> pertanto che </w:t>
      </w:r>
      <w:proofErr w:type="gramStart"/>
      <w:r w:rsidRPr="004C10E0">
        <w:rPr>
          <w:rFonts w:ascii="Century Gothic" w:hAnsi="Century Gothic"/>
        </w:rPr>
        <w:t>il trend</w:t>
      </w:r>
      <w:proofErr w:type="gramEnd"/>
      <w:r w:rsidRPr="004C10E0">
        <w:rPr>
          <w:rFonts w:ascii="Century Gothic" w:hAnsi="Century Gothic"/>
        </w:rPr>
        <w:t xml:space="preserve"> dei contagi fa ritenere necessaria l’adozione di misure urgenti restrittive specifiche, finalizzate al contenimento del contagio, con particolare riguardo a</w:t>
      </w:r>
      <w:r w:rsidR="003E289E" w:rsidRPr="004C10E0">
        <w:rPr>
          <w:rFonts w:ascii="Century Gothic" w:hAnsi="Century Gothic"/>
        </w:rPr>
        <w:t>l</w:t>
      </w:r>
      <w:r w:rsidRPr="004C10E0">
        <w:rPr>
          <w:rFonts w:ascii="Century Gothic" w:hAnsi="Century Gothic"/>
        </w:rPr>
        <w:t>la fascia oraria notturna che può determinare nei contesti sociali un allentamento sull’osservanza del rispetto delle misure di prevenzione dal contagio, con rischi di assembramento e inosservanza del distanziamento interpersonale;</w:t>
      </w:r>
      <w:r w:rsidR="003E289E">
        <w:rPr>
          <w:rFonts w:ascii="Century Gothic" w:hAnsi="Century Gothic"/>
        </w:rPr>
        <w:t xml:space="preserve"> </w:t>
      </w:r>
    </w:p>
    <w:p w14:paraId="24E5C9B1" w14:textId="118E5ACA" w:rsidR="003E289E" w:rsidRPr="003F7C99" w:rsidRDefault="004C10E0" w:rsidP="00431541">
      <w:pPr>
        <w:pStyle w:val="NormaleWeb"/>
        <w:spacing w:before="0" w:beforeAutospacing="0" w:after="0" w:line="360" w:lineRule="auto"/>
        <w:jc w:val="both"/>
        <w:rPr>
          <w:rFonts w:ascii="Century Gothic" w:hAnsi="Century Gothic"/>
        </w:rPr>
      </w:pPr>
      <w:r w:rsidRPr="000C079F">
        <w:rPr>
          <w:rFonts w:ascii="Century Gothic" w:hAnsi="Century Gothic"/>
          <w:b/>
          <w:bCs/>
        </w:rPr>
        <w:t>RITENUTO</w:t>
      </w:r>
      <w:r w:rsidRPr="000C079F">
        <w:rPr>
          <w:rFonts w:ascii="Century Gothic" w:hAnsi="Century Gothic"/>
        </w:rPr>
        <w:t xml:space="preserve"> di assumere ulteriori iniziative </w:t>
      </w:r>
      <w:r w:rsidR="00FC1090" w:rsidRPr="000C079F">
        <w:rPr>
          <w:rFonts w:ascii="Century Gothic" w:hAnsi="Century Gothic"/>
        </w:rPr>
        <w:t>finalizzate alla prevenzione e a al contrasto dalla diffusione del contagio</w:t>
      </w:r>
      <w:r w:rsidR="00FC1090">
        <w:rPr>
          <w:rFonts w:ascii="Century Gothic" w:hAnsi="Century Gothic"/>
        </w:rPr>
        <w:t xml:space="preserve"> da COVID-19 in relazione alle situazioni che configurano rischi di assembramento legate allo svolgimento di attività economiche;</w:t>
      </w:r>
    </w:p>
    <w:p w14:paraId="5AB38C5C" w14:textId="1F643987" w:rsidR="007F1961" w:rsidRDefault="007F1961" w:rsidP="007F1961">
      <w:pPr>
        <w:spacing w:after="0" w:line="360" w:lineRule="auto"/>
        <w:jc w:val="both"/>
        <w:rPr>
          <w:rFonts w:ascii="Century Gothic" w:hAnsi="Century Gothic"/>
          <w:sz w:val="24"/>
          <w:szCs w:val="24"/>
        </w:rPr>
      </w:pPr>
      <w:r w:rsidRPr="008C4C5B">
        <w:rPr>
          <w:rFonts w:ascii="Century Gothic" w:hAnsi="Century Gothic"/>
          <w:b/>
          <w:bCs/>
          <w:sz w:val="24"/>
          <w:szCs w:val="24"/>
        </w:rPr>
        <w:lastRenderedPageBreak/>
        <w:t>RITENUTO</w:t>
      </w:r>
      <w:r w:rsidRPr="008C4C5B">
        <w:rPr>
          <w:rFonts w:ascii="Century Gothic" w:hAnsi="Century Gothic"/>
          <w:sz w:val="24"/>
          <w:szCs w:val="24"/>
        </w:rPr>
        <w:t xml:space="preserve"> </w:t>
      </w:r>
      <w:r w:rsidR="00486C99" w:rsidRPr="008C4C5B">
        <w:rPr>
          <w:rFonts w:ascii="Century Gothic" w:hAnsi="Century Gothic"/>
          <w:sz w:val="24"/>
          <w:szCs w:val="24"/>
        </w:rPr>
        <w:t xml:space="preserve">altresì </w:t>
      </w:r>
      <w:r w:rsidRPr="008C4C5B">
        <w:rPr>
          <w:rFonts w:ascii="Century Gothic" w:hAnsi="Century Gothic"/>
          <w:sz w:val="24"/>
          <w:szCs w:val="24"/>
        </w:rPr>
        <w:t xml:space="preserve">opportuno assumere iniziative finalizzate a </w:t>
      </w:r>
      <w:r w:rsidR="00407D59" w:rsidRPr="008C4C5B">
        <w:rPr>
          <w:rFonts w:ascii="Century Gothic" w:hAnsi="Century Gothic"/>
          <w:sz w:val="24"/>
          <w:szCs w:val="24"/>
        </w:rPr>
        <w:t>ridurre</w:t>
      </w:r>
      <w:r w:rsidRPr="008C4C5B">
        <w:rPr>
          <w:rFonts w:ascii="Century Gothic" w:hAnsi="Century Gothic"/>
          <w:sz w:val="24"/>
          <w:szCs w:val="24"/>
        </w:rPr>
        <w:t xml:space="preserve"> il carico dell’utenza del trasporto pubblico locale per limitare i rischi di congestionamento dei mezzi pubblici e delle aree di transito e di attesa, </w:t>
      </w:r>
      <w:r w:rsidR="00D571BE" w:rsidRPr="008C4C5B">
        <w:rPr>
          <w:rFonts w:ascii="Century Gothic" w:hAnsi="Century Gothic"/>
          <w:sz w:val="24"/>
          <w:szCs w:val="24"/>
        </w:rPr>
        <w:t>con particolare riguardo a</w:t>
      </w:r>
      <w:r w:rsidRPr="008C4C5B">
        <w:rPr>
          <w:rFonts w:ascii="Century Gothic" w:hAnsi="Century Gothic"/>
          <w:sz w:val="24"/>
          <w:szCs w:val="24"/>
        </w:rPr>
        <w:t>lla mobilità degli studenti delle scuole secondarie di secondo grado</w:t>
      </w:r>
      <w:r w:rsidR="008C4C5B">
        <w:rPr>
          <w:rFonts w:ascii="Century Gothic" w:hAnsi="Century Gothic"/>
          <w:sz w:val="24"/>
          <w:szCs w:val="24"/>
        </w:rPr>
        <w:t xml:space="preserve"> e</w:t>
      </w:r>
      <w:r w:rsidRPr="008C4C5B">
        <w:rPr>
          <w:rFonts w:ascii="Century Gothic" w:hAnsi="Century Gothic"/>
          <w:sz w:val="24"/>
          <w:szCs w:val="24"/>
        </w:rPr>
        <w:t xml:space="preserve"> delle istituzioni formative secondarie di secondo grado</w:t>
      </w:r>
      <w:r w:rsidR="00FC1090">
        <w:rPr>
          <w:rFonts w:ascii="Century Gothic" w:hAnsi="Century Gothic"/>
          <w:sz w:val="24"/>
          <w:szCs w:val="24"/>
        </w:rPr>
        <w:t>;</w:t>
      </w:r>
    </w:p>
    <w:p w14:paraId="6557A162" w14:textId="77777777" w:rsidR="00FC1090" w:rsidRDefault="00FC1090" w:rsidP="007F1961">
      <w:pPr>
        <w:spacing w:after="0" w:line="360" w:lineRule="auto"/>
        <w:jc w:val="both"/>
        <w:rPr>
          <w:rFonts w:ascii="Century Gothic" w:hAnsi="Century Gothic"/>
          <w:sz w:val="24"/>
          <w:szCs w:val="24"/>
        </w:rPr>
      </w:pPr>
      <w:r w:rsidRPr="00FC1090">
        <w:rPr>
          <w:rFonts w:ascii="Century Gothic" w:hAnsi="Century Gothic"/>
          <w:b/>
          <w:bCs/>
          <w:sz w:val="24"/>
          <w:szCs w:val="24"/>
        </w:rPr>
        <w:t>RITENUTO</w:t>
      </w:r>
      <w:r>
        <w:rPr>
          <w:rFonts w:ascii="Century Gothic" w:hAnsi="Century Gothic"/>
          <w:sz w:val="24"/>
          <w:szCs w:val="24"/>
        </w:rPr>
        <w:t xml:space="preserve"> di apportare alcune precisazioni in ordine allo svolgimento degli sport di contatto dilettantistici </w:t>
      </w:r>
    </w:p>
    <w:p w14:paraId="62FFB7E6" w14:textId="3775B388" w:rsidR="00FC1090" w:rsidRPr="008C4C5B" w:rsidRDefault="00FC1090" w:rsidP="007F1961">
      <w:pPr>
        <w:spacing w:after="0" w:line="360" w:lineRule="auto"/>
        <w:jc w:val="both"/>
        <w:rPr>
          <w:rFonts w:ascii="Century Gothic" w:hAnsi="Century Gothic"/>
          <w:sz w:val="24"/>
          <w:szCs w:val="24"/>
        </w:rPr>
      </w:pPr>
      <w:r w:rsidRPr="00FC1090">
        <w:rPr>
          <w:rFonts w:ascii="Century Gothic" w:hAnsi="Century Gothic"/>
          <w:b/>
          <w:bCs/>
          <w:sz w:val="24"/>
          <w:szCs w:val="24"/>
        </w:rPr>
        <w:t>RITENUTO</w:t>
      </w:r>
      <w:r>
        <w:rPr>
          <w:rFonts w:ascii="Century Gothic" w:hAnsi="Century Gothic"/>
          <w:sz w:val="24"/>
          <w:szCs w:val="24"/>
        </w:rPr>
        <w:t xml:space="preserve"> altresì di eliminare i meri refusi presenti nell’ordinanza n. 620 del 16 ottobre 2020 in relazione a sale giochi, sale bingo e sale scommesse e altre attività simili per le quali si riconferma l’opportunità di mantenere le misure restrittive già adottate anche a seguito del DPCM del 18 ottobre 2020;</w:t>
      </w:r>
    </w:p>
    <w:p w14:paraId="2DCBD8C8" w14:textId="77777777" w:rsidR="00B06E96" w:rsidRDefault="00D571BE" w:rsidP="00D571BE">
      <w:pPr>
        <w:pStyle w:val="NormaleWeb"/>
        <w:spacing w:before="0" w:beforeAutospacing="0" w:after="0" w:line="360" w:lineRule="auto"/>
        <w:jc w:val="both"/>
        <w:rPr>
          <w:rFonts w:ascii="Century Gothic" w:hAnsi="Century Gothic"/>
        </w:rPr>
      </w:pPr>
      <w:r w:rsidRPr="008C4C5B">
        <w:rPr>
          <w:rFonts w:ascii="Century Gothic" w:hAnsi="Century Gothic"/>
          <w:b/>
          <w:bCs/>
        </w:rPr>
        <w:lastRenderedPageBreak/>
        <w:t>SENTITI</w:t>
      </w:r>
      <w:r w:rsidRPr="008C4C5B">
        <w:rPr>
          <w:rFonts w:ascii="Century Gothic" w:hAnsi="Century Gothic"/>
        </w:rPr>
        <w:t xml:space="preserve"> in data 1</w:t>
      </w:r>
      <w:r w:rsidR="002E6F38" w:rsidRPr="008C4C5B">
        <w:rPr>
          <w:rFonts w:ascii="Century Gothic" w:hAnsi="Century Gothic"/>
        </w:rPr>
        <w:t>9</w:t>
      </w:r>
      <w:r w:rsidRPr="008C4C5B">
        <w:rPr>
          <w:rFonts w:ascii="Century Gothic" w:hAnsi="Century Gothic"/>
        </w:rPr>
        <w:t xml:space="preserve"> ottobre 2020 i sindaci dei Comuni capoluogo della Città metropolitana e delle Province</w:t>
      </w:r>
      <w:r w:rsidR="002D26BD" w:rsidRPr="008C4C5B">
        <w:rPr>
          <w:rFonts w:ascii="Century Gothic" w:hAnsi="Century Gothic"/>
        </w:rPr>
        <w:t>;</w:t>
      </w:r>
      <w:r w:rsidR="00B06E96">
        <w:rPr>
          <w:rFonts w:ascii="Century Gothic" w:hAnsi="Century Gothic"/>
        </w:rPr>
        <w:t xml:space="preserve"> </w:t>
      </w:r>
    </w:p>
    <w:p w14:paraId="5ECECD98" w14:textId="40BAE03A" w:rsidR="002D26BD" w:rsidRPr="008C4C5B" w:rsidRDefault="00E636A4" w:rsidP="00D571BE">
      <w:pPr>
        <w:pStyle w:val="NormaleWeb"/>
        <w:spacing w:before="0" w:beforeAutospacing="0" w:after="0" w:line="360" w:lineRule="auto"/>
        <w:jc w:val="both"/>
        <w:rPr>
          <w:rFonts w:ascii="Century Gothic" w:hAnsi="Century Gothic"/>
        </w:rPr>
      </w:pPr>
      <w:r w:rsidRPr="00E636A4">
        <w:rPr>
          <w:rFonts w:ascii="Century Gothic" w:hAnsi="Century Gothic"/>
          <w:b/>
          <w:bCs/>
        </w:rPr>
        <w:t xml:space="preserve">D’INTESA </w:t>
      </w:r>
      <w:r w:rsidR="00B06E96" w:rsidRPr="00B06E96">
        <w:rPr>
          <w:rFonts w:ascii="Century Gothic" w:hAnsi="Century Gothic"/>
        </w:rPr>
        <w:t xml:space="preserve">con il Sindaco di Bergamo Giorgio Gori, il sindaco di Brescia Emilio Del Bono, il Sindaco di Como Mario </w:t>
      </w:r>
      <w:proofErr w:type="spellStart"/>
      <w:r w:rsidR="00B06E96" w:rsidRPr="00B06E96">
        <w:rPr>
          <w:rFonts w:ascii="Century Gothic" w:hAnsi="Century Gothic"/>
        </w:rPr>
        <w:t>Landriscina</w:t>
      </w:r>
      <w:proofErr w:type="spellEnd"/>
      <w:r w:rsidR="00B06E96" w:rsidRPr="00B06E96">
        <w:rPr>
          <w:rFonts w:ascii="Century Gothic" w:hAnsi="Century Gothic"/>
        </w:rPr>
        <w:t xml:space="preserve">, il Sindaco di Cremona Gianluca Galimberti, il Sindaco di Lodi Sara Casanova, il Sindaco di Lecco Mauro Gattinoni, il Sindaco di Mantova Mattia Palazzi, il Sindaco di Milano Giuseppe Sala, il Sindaco di Monza Dario Allevi, il Sindaco di Pavia Fabrizio Fracassi, il Sindaco di Varese Davide Galimberti, il Sindaco di Sondrio Marco </w:t>
      </w:r>
      <w:proofErr w:type="spellStart"/>
      <w:r w:rsidR="00B06E96" w:rsidRPr="00B06E96">
        <w:rPr>
          <w:rFonts w:ascii="Century Gothic" w:hAnsi="Century Gothic"/>
        </w:rPr>
        <w:t>Scaramellini</w:t>
      </w:r>
      <w:proofErr w:type="spellEnd"/>
      <w:r>
        <w:rPr>
          <w:rFonts w:ascii="Century Gothic" w:hAnsi="Century Gothic"/>
        </w:rPr>
        <w:t xml:space="preserve">, </w:t>
      </w:r>
      <w:r w:rsidR="00B06E96" w:rsidRPr="00B06E96">
        <w:rPr>
          <w:rFonts w:ascii="Century Gothic" w:hAnsi="Century Gothic"/>
        </w:rPr>
        <w:t xml:space="preserve"> il Presidente di Anci Lombardia Mauro Guerra</w:t>
      </w:r>
      <w:r>
        <w:rPr>
          <w:rFonts w:ascii="Century Gothic" w:hAnsi="Century Gothic"/>
        </w:rPr>
        <w:t xml:space="preserve"> e il Presidente di Unione Provincie Lombarde Vittorio Poma.</w:t>
      </w:r>
      <w:bookmarkStart w:id="1" w:name="_GoBack"/>
      <w:bookmarkEnd w:id="1"/>
    </w:p>
    <w:p w14:paraId="7DE78DB6" w14:textId="2119026A" w:rsidR="00D571BE" w:rsidRPr="00A96C32" w:rsidRDefault="002D26BD" w:rsidP="00D571BE">
      <w:pPr>
        <w:pStyle w:val="NormaleWeb"/>
        <w:spacing w:before="0" w:beforeAutospacing="0" w:after="0" w:line="360" w:lineRule="auto"/>
        <w:jc w:val="both"/>
        <w:rPr>
          <w:rFonts w:ascii="Century Gothic" w:hAnsi="Century Gothic"/>
        </w:rPr>
      </w:pPr>
      <w:r w:rsidRPr="008C4C5B">
        <w:rPr>
          <w:rFonts w:ascii="Century Gothic" w:hAnsi="Century Gothic"/>
          <w:b/>
          <w:bCs/>
        </w:rPr>
        <w:t>SENTITO</w:t>
      </w:r>
      <w:r w:rsidRPr="008C4C5B">
        <w:rPr>
          <w:rFonts w:ascii="Century Gothic" w:hAnsi="Century Gothic"/>
        </w:rPr>
        <w:t xml:space="preserve"> altresì in data odierna</w:t>
      </w:r>
      <w:r w:rsidR="00BA262B" w:rsidRPr="008C4C5B">
        <w:rPr>
          <w:rFonts w:ascii="Century Gothic" w:hAnsi="Century Gothic"/>
        </w:rPr>
        <w:t xml:space="preserve"> il Ministro della Salute</w:t>
      </w:r>
      <w:r w:rsidR="00D571BE" w:rsidRPr="008C4C5B">
        <w:rPr>
          <w:rFonts w:ascii="Century Gothic" w:hAnsi="Century Gothic"/>
        </w:rPr>
        <w:t>;</w:t>
      </w:r>
    </w:p>
    <w:p w14:paraId="51E4FA45" w14:textId="77777777" w:rsidR="00D46ABE" w:rsidRPr="00A96C32" w:rsidRDefault="00D46ABE" w:rsidP="00371195">
      <w:pPr>
        <w:pStyle w:val="NormaleWeb"/>
        <w:spacing w:before="0" w:beforeAutospacing="0" w:after="0" w:line="360" w:lineRule="auto"/>
        <w:jc w:val="center"/>
      </w:pPr>
      <w:r w:rsidRPr="00A96C32">
        <w:rPr>
          <w:rFonts w:ascii="Century Gothic" w:hAnsi="Century Gothic"/>
          <w:b/>
          <w:bCs/>
        </w:rPr>
        <w:t>ORDINA</w:t>
      </w:r>
    </w:p>
    <w:p w14:paraId="6A7BD606" w14:textId="72A4B252" w:rsidR="000C079F" w:rsidRDefault="00051727" w:rsidP="00051727">
      <w:pPr>
        <w:pStyle w:val="NormaleWeb"/>
        <w:spacing w:before="0" w:beforeAutospacing="0" w:after="0" w:line="360" w:lineRule="auto"/>
        <w:jc w:val="both"/>
        <w:rPr>
          <w:rFonts w:ascii="Century Gothic" w:hAnsi="Century Gothic"/>
          <w:b/>
          <w:bCs/>
        </w:rPr>
      </w:pPr>
      <w:bookmarkStart w:id="2" w:name="_Hlk54077639"/>
      <w:r w:rsidRPr="00A96C32">
        <w:rPr>
          <w:rFonts w:ascii="Century Gothic" w:hAnsi="Century Gothic"/>
          <w:b/>
          <w:bCs/>
        </w:rPr>
        <w:t xml:space="preserve">Art. </w:t>
      </w:r>
      <w:r>
        <w:rPr>
          <w:rFonts w:ascii="Century Gothic" w:hAnsi="Century Gothic"/>
          <w:b/>
          <w:bCs/>
        </w:rPr>
        <w:t>1</w:t>
      </w:r>
      <w:r w:rsidR="000C079F">
        <w:rPr>
          <w:rFonts w:ascii="Century Gothic" w:hAnsi="Century Gothic"/>
          <w:b/>
          <w:bCs/>
        </w:rPr>
        <w:t xml:space="preserve"> (Misure correlate all’adozione dell’Ordinanza del Ministro della Salute d’intesa con il Presidente della Regione del 21 ottobre 2020)</w:t>
      </w:r>
    </w:p>
    <w:p w14:paraId="7D5E0B26" w14:textId="78BE4A8C" w:rsidR="000C079F" w:rsidRPr="000C079F" w:rsidRDefault="000C079F" w:rsidP="000C079F">
      <w:pPr>
        <w:pStyle w:val="NormaleWeb"/>
        <w:numPr>
          <w:ilvl w:val="0"/>
          <w:numId w:val="18"/>
        </w:numPr>
        <w:spacing w:before="0" w:beforeAutospacing="0" w:after="0" w:line="360" w:lineRule="auto"/>
        <w:ind w:left="0" w:firstLine="0"/>
        <w:jc w:val="both"/>
      </w:pPr>
      <w:r w:rsidRPr="000C079F">
        <w:rPr>
          <w:rFonts w:ascii="Century Gothic" w:hAnsi="Century Gothic"/>
        </w:rPr>
        <w:t xml:space="preserve">I gestori ed organizzatori delle attività economiche e sociali programmano le medesime al fine di garantire il rispetto da parte del pubblico, dei clienti ed utenti di quanto stabilito dall’Ordinanza del Ministro della Salute d’intesa con il Presidente della </w:t>
      </w:r>
      <w:r>
        <w:rPr>
          <w:rFonts w:ascii="Century Gothic" w:hAnsi="Century Gothic"/>
        </w:rPr>
        <w:t>Regione</w:t>
      </w:r>
      <w:r w:rsidRPr="000C079F">
        <w:rPr>
          <w:rFonts w:ascii="Century Gothic" w:hAnsi="Century Gothic"/>
        </w:rPr>
        <w:t xml:space="preserve"> del 21 ottobre 2020.</w:t>
      </w:r>
    </w:p>
    <w:p w14:paraId="49FFC27A" w14:textId="77777777" w:rsidR="000C079F" w:rsidRPr="000C079F" w:rsidRDefault="000C079F" w:rsidP="000C079F">
      <w:pPr>
        <w:pStyle w:val="NormaleWeb"/>
        <w:spacing w:before="0" w:beforeAutospacing="0" w:after="0" w:line="360" w:lineRule="auto"/>
        <w:ind w:left="720"/>
        <w:jc w:val="both"/>
      </w:pPr>
    </w:p>
    <w:p w14:paraId="504D8011" w14:textId="3429E198" w:rsidR="00051727" w:rsidRPr="00A96C32" w:rsidRDefault="000C079F" w:rsidP="000C079F">
      <w:pPr>
        <w:pStyle w:val="NormaleWeb"/>
        <w:spacing w:before="0" w:beforeAutospacing="0" w:after="0" w:line="360" w:lineRule="auto"/>
        <w:jc w:val="both"/>
      </w:pPr>
      <w:r>
        <w:rPr>
          <w:rFonts w:ascii="Century Gothic" w:hAnsi="Century Gothic"/>
          <w:b/>
          <w:bCs/>
        </w:rPr>
        <w:lastRenderedPageBreak/>
        <w:t xml:space="preserve">Art. 2 </w:t>
      </w:r>
      <w:r w:rsidR="00051727" w:rsidRPr="00A96C32">
        <w:rPr>
          <w:rFonts w:ascii="Century Gothic" w:hAnsi="Century Gothic"/>
          <w:b/>
          <w:bCs/>
        </w:rPr>
        <w:t>(</w:t>
      </w:r>
      <w:r w:rsidR="003B0AC8">
        <w:rPr>
          <w:rFonts w:ascii="Century Gothic" w:hAnsi="Century Gothic"/>
          <w:b/>
          <w:bCs/>
        </w:rPr>
        <w:t>Limitazioni alle aperture</w:t>
      </w:r>
      <w:r w:rsidR="00051727">
        <w:rPr>
          <w:rFonts w:ascii="Century Gothic" w:hAnsi="Century Gothic"/>
          <w:b/>
          <w:bCs/>
        </w:rPr>
        <w:t xml:space="preserve"> delle grandi strutture di vendita e dei centri commerciali nei fine settimana)</w:t>
      </w:r>
    </w:p>
    <w:p w14:paraId="4836DCF3" w14:textId="17A173EF" w:rsidR="00051727" w:rsidRDefault="00051727" w:rsidP="001E1D64">
      <w:pPr>
        <w:pStyle w:val="NormaleWeb"/>
        <w:numPr>
          <w:ilvl w:val="0"/>
          <w:numId w:val="18"/>
        </w:numPr>
        <w:tabs>
          <w:tab w:val="left" w:pos="284"/>
        </w:tabs>
        <w:spacing w:before="0" w:beforeAutospacing="0" w:after="0" w:line="360" w:lineRule="auto"/>
        <w:ind w:left="0" w:firstLine="0"/>
        <w:jc w:val="both"/>
        <w:rPr>
          <w:rFonts w:ascii="Century Gothic" w:hAnsi="Century Gothic"/>
        </w:rPr>
      </w:pPr>
      <w:r>
        <w:rPr>
          <w:rFonts w:ascii="Century Gothic" w:hAnsi="Century Gothic"/>
        </w:rPr>
        <w:t>N</w:t>
      </w:r>
      <w:r w:rsidRPr="0095598E">
        <w:rPr>
          <w:rFonts w:ascii="Century Gothic" w:hAnsi="Century Gothic"/>
        </w:rPr>
        <w:t>elle giornate di sabato e domenica è disposta la chiusura delle grandi strutture di vendita nonch</w:t>
      </w:r>
      <w:r>
        <w:rPr>
          <w:rFonts w:ascii="Century Gothic" w:hAnsi="Century Gothic"/>
        </w:rPr>
        <w:t>é</w:t>
      </w:r>
      <w:r w:rsidRPr="0095598E">
        <w:rPr>
          <w:rFonts w:ascii="Century Gothic" w:hAnsi="Century Gothic"/>
        </w:rPr>
        <w:t xml:space="preserve"> degli esercizi commerciali </w:t>
      </w:r>
      <w:r>
        <w:rPr>
          <w:rFonts w:ascii="Century Gothic" w:hAnsi="Century Gothic"/>
        </w:rPr>
        <w:t xml:space="preserve">al dettaglio </w:t>
      </w:r>
      <w:r w:rsidRPr="0095598E">
        <w:rPr>
          <w:rFonts w:ascii="Century Gothic" w:hAnsi="Century Gothic"/>
        </w:rPr>
        <w:t>presenti all'interno dei centri commerciali.</w:t>
      </w:r>
      <w:r>
        <w:rPr>
          <w:rFonts w:ascii="Century Gothic" w:hAnsi="Century Gothic"/>
        </w:rPr>
        <w:t xml:space="preserve"> </w:t>
      </w:r>
      <w:r w:rsidRPr="0095598E">
        <w:rPr>
          <w:rFonts w:ascii="Century Gothic" w:hAnsi="Century Gothic"/>
        </w:rPr>
        <w:t>La disposizione di cui al precedente periodo non si applica all</w:t>
      </w:r>
      <w:r>
        <w:rPr>
          <w:rFonts w:ascii="Century Gothic" w:hAnsi="Century Gothic"/>
        </w:rPr>
        <w:t>a</w:t>
      </w:r>
      <w:r w:rsidRPr="0095598E">
        <w:rPr>
          <w:rFonts w:ascii="Century Gothic" w:hAnsi="Century Gothic"/>
        </w:rPr>
        <w:t xml:space="preserve"> </w:t>
      </w:r>
      <w:r>
        <w:rPr>
          <w:rFonts w:ascii="Century Gothic" w:hAnsi="Century Gothic"/>
        </w:rPr>
        <w:t xml:space="preserve">vendita di </w:t>
      </w:r>
      <w:r w:rsidRPr="0095598E">
        <w:rPr>
          <w:rFonts w:ascii="Century Gothic" w:hAnsi="Century Gothic"/>
        </w:rPr>
        <w:t>generi alimentari</w:t>
      </w:r>
      <w:r>
        <w:rPr>
          <w:rFonts w:ascii="Century Gothic" w:hAnsi="Century Gothic"/>
        </w:rPr>
        <w:t xml:space="preserve">, </w:t>
      </w:r>
      <w:r w:rsidRPr="00FC1090">
        <w:rPr>
          <w:rFonts w:ascii="Century Gothic" w:hAnsi="Century Gothic"/>
        </w:rPr>
        <w:t xml:space="preserve">di prodotti </w:t>
      </w:r>
      <w:r w:rsidR="00504490" w:rsidRPr="00FC1090">
        <w:rPr>
          <w:rFonts w:ascii="Century Gothic" w:hAnsi="Century Gothic"/>
        </w:rPr>
        <w:t>cosmetici</w:t>
      </w:r>
      <w:r w:rsidRPr="00FC1090">
        <w:rPr>
          <w:rFonts w:ascii="Century Gothic" w:hAnsi="Century Gothic"/>
        </w:rPr>
        <w:t xml:space="preserve"> e per l'igiene personale, per l’igiene della casa, nonché alle</w:t>
      </w:r>
      <w:r w:rsidRPr="0095598E">
        <w:rPr>
          <w:rFonts w:ascii="Century Gothic" w:hAnsi="Century Gothic"/>
        </w:rPr>
        <w:t xml:space="preserve"> farmacie</w:t>
      </w:r>
      <w:r>
        <w:rPr>
          <w:rFonts w:ascii="Century Gothic" w:hAnsi="Century Gothic"/>
        </w:rPr>
        <w:t>,</w:t>
      </w:r>
      <w:r w:rsidRPr="0095598E">
        <w:rPr>
          <w:rFonts w:ascii="Century Gothic" w:hAnsi="Century Gothic"/>
        </w:rPr>
        <w:t xml:space="preserve"> </w:t>
      </w:r>
      <w:r>
        <w:rPr>
          <w:rFonts w:ascii="Century Gothic" w:hAnsi="Century Gothic"/>
        </w:rPr>
        <w:t xml:space="preserve">alle </w:t>
      </w:r>
      <w:r w:rsidRPr="0095598E">
        <w:rPr>
          <w:rFonts w:ascii="Century Gothic" w:hAnsi="Century Gothic"/>
        </w:rPr>
        <w:t>parafarmacie</w:t>
      </w:r>
      <w:r>
        <w:rPr>
          <w:rFonts w:ascii="Century Gothic" w:hAnsi="Century Gothic"/>
        </w:rPr>
        <w:t xml:space="preserve"> ed alle tabaccherie</w:t>
      </w:r>
      <w:r w:rsidRPr="0095598E">
        <w:rPr>
          <w:rFonts w:ascii="Century Gothic" w:hAnsi="Century Gothic"/>
        </w:rPr>
        <w:t xml:space="preserve">. </w:t>
      </w:r>
    </w:p>
    <w:p w14:paraId="27E95D6F" w14:textId="3EB23B59" w:rsidR="000C079F" w:rsidRDefault="000C079F" w:rsidP="000C079F">
      <w:pPr>
        <w:pStyle w:val="NormaleWeb"/>
        <w:tabs>
          <w:tab w:val="left" w:pos="284"/>
        </w:tabs>
        <w:spacing w:before="0" w:beforeAutospacing="0" w:after="0" w:line="360" w:lineRule="auto"/>
        <w:jc w:val="both"/>
        <w:rPr>
          <w:rFonts w:ascii="Century Gothic" w:hAnsi="Century Gothic"/>
        </w:rPr>
      </w:pPr>
    </w:p>
    <w:p w14:paraId="22740D3F" w14:textId="00A82CAA" w:rsidR="00051727" w:rsidRPr="00C93AC3" w:rsidRDefault="00051727" w:rsidP="00051727">
      <w:pPr>
        <w:pStyle w:val="NormaleWeb"/>
        <w:spacing w:before="0" w:beforeAutospacing="0" w:after="0" w:line="360" w:lineRule="auto"/>
        <w:jc w:val="both"/>
        <w:rPr>
          <w:rFonts w:ascii="Century Gothic" w:hAnsi="Century Gothic"/>
          <w:b/>
          <w:bCs/>
        </w:rPr>
      </w:pPr>
      <w:r w:rsidRPr="00C93AC3">
        <w:rPr>
          <w:rFonts w:ascii="Century Gothic" w:hAnsi="Century Gothic"/>
          <w:b/>
          <w:bCs/>
        </w:rPr>
        <w:t xml:space="preserve">Art. </w:t>
      </w:r>
      <w:r w:rsidR="000C079F">
        <w:rPr>
          <w:rFonts w:ascii="Century Gothic" w:hAnsi="Century Gothic"/>
          <w:b/>
          <w:bCs/>
        </w:rPr>
        <w:t>3</w:t>
      </w:r>
      <w:r w:rsidRPr="00C93AC3">
        <w:rPr>
          <w:rFonts w:ascii="Century Gothic" w:hAnsi="Century Gothic"/>
          <w:b/>
          <w:bCs/>
        </w:rPr>
        <w:t xml:space="preserve"> (</w:t>
      </w:r>
      <w:r>
        <w:rPr>
          <w:rFonts w:ascii="Century Gothic" w:hAnsi="Century Gothic"/>
          <w:b/>
          <w:bCs/>
        </w:rPr>
        <w:t>M</w:t>
      </w:r>
      <w:r w:rsidRPr="00C93AC3">
        <w:rPr>
          <w:rFonts w:ascii="Century Gothic" w:hAnsi="Century Gothic"/>
          <w:b/>
          <w:bCs/>
        </w:rPr>
        <w:t xml:space="preserve">isure per prevenire l’affollamento </w:t>
      </w:r>
      <w:r>
        <w:rPr>
          <w:rFonts w:ascii="Century Gothic" w:hAnsi="Century Gothic"/>
          <w:b/>
          <w:bCs/>
        </w:rPr>
        <w:t>all’interno d</w:t>
      </w:r>
      <w:r w:rsidRPr="00C93AC3">
        <w:rPr>
          <w:rFonts w:ascii="Century Gothic" w:hAnsi="Century Gothic"/>
          <w:b/>
          <w:bCs/>
        </w:rPr>
        <w:t xml:space="preserve">egli esercizi di somministrazione di alimenti e bevande e </w:t>
      </w:r>
      <w:r>
        <w:rPr>
          <w:rFonts w:ascii="Century Gothic" w:hAnsi="Century Gothic"/>
          <w:b/>
          <w:bCs/>
        </w:rPr>
        <w:t>d</w:t>
      </w:r>
      <w:r w:rsidRPr="00C93AC3">
        <w:rPr>
          <w:rFonts w:ascii="Century Gothic" w:hAnsi="Century Gothic"/>
          <w:b/>
          <w:bCs/>
        </w:rPr>
        <w:t>egli esercizi commerciali</w:t>
      </w:r>
      <w:r>
        <w:rPr>
          <w:rFonts w:ascii="Century Gothic" w:hAnsi="Century Gothic"/>
          <w:b/>
          <w:bCs/>
        </w:rPr>
        <w:t xml:space="preserve"> al dettaglio</w:t>
      </w:r>
      <w:r w:rsidRPr="00C93AC3">
        <w:rPr>
          <w:rFonts w:ascii="Century Gothic" w:hAnsi="Century Gothic"/>
          <w:b/>
          <w:bCs/>
        </w:rPr>
        <w:t>)</w:t>
      </w:r>
    </w:p>
    <w:p w14:paraId="592CF124" w14:textId="315A8453" w:rsidR="00051727" w:rsidRDefault="00051727" w:rsidP="001E1D64">
      <w:pPr>
        <w:pStyle w:val="NormaleWeb"/>
        <w:numPr>
          <w:ilvl w:val="0"/>
          <w:numId w:val="17"/>
        </w:numPr>
        <w:tabs>
          <w:tab w:val="left" w:pos="284"/>
        </w:tabs>
        <w:spacing w:before="0" w:beforeAutospacing="0" w:after="0" w:line="360" w:lineRule="auto"/>
        <w:ind w:left="0" w:firstLine="0"/>
        <w:jc w:val="both"/>
        <w:rPr>
          <w:rFonts w:ascii="Century Gothic" w:hAnsi="Century Gothic"/>
        </w:rPr>
      </w:pPr>
      <w:r w:rsidRPr="00035D77">
        <w:rPr>
          <w:rFonts w:ascii="Century Gothic" w:hAnsi="Century Gothic"/>
        </w:rPr>
        <w:lastRenderedPageBreak/>
        <w:t xml:space="preserve">È fatto obbligo </w:t>
      </w:r>
      <w:r>
        <w:rPr>
          <w:rFonts w:ascii="Century Gothic" w:hAnsi="Century Gothic"/>
        </w:rPr>
        <w:t xml:space="preserve">sia </w:t>
      </w:r>
      <w:r w:rsidRPr="00035D77">
        <w:rPr>
          <w:rFonts w:ascii="Century Gothic" w:hAnsi="Century Gothic"/>
        </w:rPr>
        <w:t xml:space="preserve">per gli esercizi commerciali al dettaglio </w:t>
      </w:r>
      <w:r>
        <w:rPr>
          <w:rFonts w:ascii="Century Gothic" w:hAnsi="Century Gothic"/>
        </w:rPr>
        <w:t>ch</w:t>
      </w:r>
      <w:r w:rsidRPr="00035D77">
        <w:rPr>
          <w:rFonts w:ascii="Century Gothic" w:hAnsi="Century Gothic"/>
        </w:rPr>
        <w:t xml:space="preserve">e per gli esercizi di somministrazione di alimenti e bevande di esporre all’ingresso del locale un cartello che riporti il numero massimo di persone ammesse contemporaneamente nel locale medesimo, sulla base dei protocolli e delle linee guida vigenti. </w:t>
      </w:r>
      <w:r>
        <w:rPr>
          <w:rFonts w:ascii="Century Gothic" w:hAnsi="Century Gothic"/>
        </w:rPr>
        <w:t xml:space="preserve"> </w:t>
      </w:r>
    </w:p>
    <w:p w14:paraId="2C2BE851" w14:textId="7F888A6C" w:rsidR="00051727" w:rsidRDefault="00051727" w:rsidP="001E1D64">
      <w:pPr>
        <w:pStyle w:val="NormaleWeb"/>
        <w:numPr>
          <w:ilvl w:val="0"/>
          <w:numId w:val="17"/>
        </w:numPr>
        <w:tabs>
          <w:tab w:val="left" w:pos="284"/>
        </w:tabs>
        <w:spacing w:before="0" w:beforeAutospacing="0" w:after="0" w:line="360" w:lineRule="auto"/>
        <w:ind w:left="0" w:firstLine="0"/>
        <w:jc w:val="both"/>
        <w:rPr>
          <w:rFonts w:ascii="Century Gothic" w:hAnsi="Century Gothic"/>
        </w:rPr>
      </w:pPr>
      <w:r>
        <w:rPr>
          <w:rFonts w:ascii="Century Gothic" w:hAnsi="Century Gothic"/>
        </w:rPr>
        <w:t xml:space="preserve">Tali esercizi devono adottare </w:t>
      </w:r>
      <w:r w:rsidRPr="00035D77">
        <w:rPr>
          <w:rFonts w:ascii="Century Gothic" w:hAnsi="Century Gothic"/>
        </w:rPr>
        <w:t xml:space="preserve">regole di accesso, in base alle caratteristiche dei </w:t>
      </w:r>
      <w:r>
        <w:rPr>
          <w:rFonts w:ascii="Century Gothic" w:hAnsi="Century Gothic"/>
        </w:rPr>
        <w:t>locali</w:t>
      </w:r>
      <w:r w:rsidRPr="00035D77">
        <w:rPr>
          <w:rFonts w:ascii="Century Gothic" w:hAnsi="Century Gothic"/>
        </w:rPr>
        <w:t>, in modo da evitare assembramenti e assicurare il mantenimento di almeno 1 metro di separazione tra i clienti</w:t>
      </w:r>
      <w:r>
        <w:rPr>
          <w:rFonts w:ascii="Century Gothic" w:hAnsi="Century Gothic"/>
        </w:rPr>
        <w:t>. In particolare, le medie e grandi strutture di vendita devono garantire quanto previsto al periodo precedente, dando priorità, ove possibile, a modalità (app, internet etc.) di prenotazione dell’accesso all’esercizio</w:t>
      </w:r>
      <w:r w:rsidRPr="00035D77">
        <w:rPr>
          <w:rFonts w:ascii="Century Gothic" w:hAnsi="Century Gothic"/>
        </w:rPr>
        <w:t>.</w:t>
      </w:r>
    </w:p>
    <w:p w14:paraId="2B7C3708" w14:textId="77777777" w:rsidR="00051727" w:rsidRDefault="00051727" w:rsidP="00051727">
      <w:pPr>
        <w:pStyle w:val="NormaleWeb"/>
        <w:spacing w:before="0" w:beforeAutospacing="0" w:after="0" w:line="360" w:lineRule="auto"/>
        <w:jc w:val="both"/>
        <w:rPr>
          <w:rFonts w:ascii="Century Gothic" w:hAnsi="Century Gothic"/>
        </w:rPr>
      </w:pPr>
    </w:p>
    <w:p w14:paraId="5757EBF2" w14:textId="251FBDD7" w:rsidR="00051727" w:rsidRPr="00C93AC3" w:rsidRDefault="00051727" w:rsidP="00051727">
      <w:pPr>
        <w:pStyle w:val="NormaleWeb"/>
        <w:spacing w:before="0" w:beforeAutospacing="0" w:after="0" w:line="360" w:lineRule="auto"/>
        <w:jc w:val="both"/>
        <w:rPr>
          <w:rFonts w:ascii="Century Gothic" w:hAnsi="Century Gothic"/>
          <w:b/>
          <w:bCs/>
        </w:rPr>
      </w:pPr>
      <w:r w:rsidRPr="00C93AC3">
        <w:rPr>
          <w:rFonts w:ascii="Century Gothic" w:hAnsi="Century Gothic"/>
          <w:b/>
          <w:bCs/>
        </w:rPr>
        <w:lastRenderedPageBreak/>
        <w:t xml:space="preserve">Art. </w:t>
      </w:r>
      <w:r w:rsidR="000C079F">
        <w:rPr>
          <w:rFonts w:ascii="Century Gothic" w:hAnsi="Century Gothic"/>
          <w:b/>
          <w:bCs/>
        </w:rPr>
        <w:t>4</w:t>
      </w:r>
      <w:r w:rsidRPr="00C93AC3">
        <w:rPr>
          <w:rFonts w:ascii="Century Gothic" w:hAnsi="Century Gothic"/>
          <w:b/>
          <w:bCs/>
        </w:rPr>
        <w:t xml:space="preserve"> (</w:t>
      </w:r>
      <w:r>
        <w:rPr>
          <w:rFonts w:ascii="Century Gothic" w:hAnsi="Century Gothic"/>
          <w:b/>
          <w:bCs/>
        </w:rPr>
        <w:t>Divieto di svolgimento delle f</w:t>
      </w:r>
      <w:r w:rsidRPr="00C93AC3">
        <w:rPr>
          <w:rFonts w:ascii="Century Gothic" w:hAnsi="Century Gothic"/>
          <w:b/>
          <w:bCs/>
        </w:rPr>
        <w:t xml:space="preserve">iere </w:t>
      </w:r>
      <w:r>
        <w:rPr>
          <w:rFonts w:ascii="Century Gothic" w:hAnsi="Century Gothic"/>
          <w:b/>
          <w:bCs/>
        </w:rPr>
        <w:t xml:space="preserve">di comunità </w:t>
      </w:r>
      <w:r w:rsidRPr="00C93AC3">
        <w:rPr>
          <w:rFonts w:ascii="Century Gothic" w:hAnsi="Century Gothic"/>
          <w:b/>
          <w:bCs/>
        </w:rPr>
        <w:t xml:space="preserve">e </w:t>
      </w:r>
      <w:r>
        <w:rPr>
          <w:rFonts w:ascii="Century Gothic" w:hAnsi="Century Gothic"/>
          <w:b/>
          <w:bCs/>
        </w:rPr>
        <w:t xml:space="preserve">delle </w:t>
      </w:r>
      <w:r w:rsidRPr="00C93AC3">
        <w:rPr>
          <w:rFonts w:ascii="Century Gothic" w:hAnsi="Century Gothic"/>
          <w:b/>
          <w:bCs/>
        </w:rPr>
        <w:t>sagre)</w:t>
      </w:r>
    </w:p>
    <w:p w14:paraId="63038C09" w14:textId="355FA083" w:rsidR="00051727" w:rsidRPr="00B7440A" w:rsidRDefault="00051727" w:rsidP="001E1D64">
      <w:pPr>
        <w:pStyle w:val="Default"/>
        <w:numPr>
          <w:ilvl w:val="0"/>
          <w:numId w:val="19"/>
        </w:numPr>
        <w:tabs>
          <w:tab w:val="left" w:pos="426"/>
        </w:tabs>
        <w:spacing w:line="360" w:lineRule="auto"/>
        <w:ind w:left="0" w:firstLine="0"/>
        <w:jc w:val="both"/>
      </w:pPr>
      <w:proofErr w:type="gramStart"/>
      <w:r>
        <w:t>E’</w:t>
      </w:r>
      <w:proofErr w:type="gramEnd"/>
      <w:r>
        <w:t xml:space="preserve"> vietato lo svolgimento delle c.d. fiere di comunità e delle sagre di cui, rispettivamente, alle lettere f) e g), comma 2 dell’art. 16 della </w:t>
      </w:r>
      <w:proofErr w:type="spellStart"/>
      <w:r>
        <w:t>l.r</w:t>
      </w:r>
      <w:proofErr w:type="spellEnd"/>
      <w:r>
        <w:t xml:space="preserve">. 6/2010 svolte su area pubblica, restando pertanto escluse da tale divieto tutte le manifestazioni fieristiche di cui all’art. 121 della medesima </w:t>
      </w:r>
      <w:proofErr w:type="spellStart"/>
      <w:r>
        <w:t>l.r</w:t>
      </w:r>
      <w:proofErr w:type="spellEnd"/>
      <w:r>
        <w:t>. 6/2010 che si svolgono in appositi quartieri fieristici.</w:t>
      </w:r>
    </w:p>
    <w:p w14:paraId="146784F0" w14:textId="77777777" w:rsidR="0095598E" w:rsidRPr="0095598E" w:rsidRDefault="0095598E" w:rsidP="0095598E">
      <w:pPr>
        <w:pStyle w:val="NormaleWeb"/>
        <w:spacing w:before="0" w:beforeAutospacing="0" w:after="0" w:line="360" w:lineRule="auto"/>
        <w:ind w:left="720"/>
        <w:jc w:val="both"/>
        <w:rPr>
          <w:rFonts w:ascii="Century Gothic" w:hAnsi="Century Gothic"/>
        </w:rPr>
      </w:pPr>
    </w:p>
    <w:p w14:paraId="01456CD5" w14:textId="3F998978" w:rsidR="005010B9" w:rsidRPr="005010B9" w:rsidRDefault="005010B9" w:rsidP="00CD3FB5">
      <w:pPr>
        <w:pStyle w:val="NormaleWeb"/>
        <w:spacing w:before="0" w:beforeAutospacing="0" w:after="0" w:line="360" w:lineRule="auto"/>
        <w:jc w:val="both"/>
        <w:rPr>
          <w:rFonts w:ascii="Century Gothic" w:hAnsi="Century Gothic"/>
          <w:b/>
          <w:bCs/>
        </w:rPr>
      </w:pPr>
      <w:r w:rsidRPr="005010B9">
        <w:rPr>
          <w:rFonts w:ascii="Century Gothic" w:hAnsi="Century Gothic"/>
          <w:b/>
          <w:bCs/>
        </w:rPr>
        <w:t xml:space="preserve">Art. </w:t>
      </w:r>
      <w:r w:rsidR="000C079F">
        <w:rPr>
          <w:rFonts w:ascii="Century Gothic" w:hAnsi="Century Gothic"/>
          <w:b/>
          <w:bCs/>
        </w:rPr>
        <w:t>5</w:t>
      </w:r>
      <w:r w:rsidRPr="005010B9">
        <w:rPr>
          <w:rFonts w:ascii="Century Gothic" w:hAnsi="Century Gothic"/>
          <w:b/>
          <w:bCs/>
        </w:rPr>
        <w:t xml:space="preserve"> (Modifiche </w:t>
      </w:r>
      <w:r w:rsidR="00E85E68">
        <w:rPr>
          <w:rFonts w:ascii="Century Gothic" w:hAnsi="Century Gothic"/>
          <w:b/>
          <w:bCs/>
        </w:rPr>
        <w:t>de</w:t>
      </w:r>
      <w:r w:rsidRPr="005010B9">
        <w:rPr>
          <w:rFonts w:ascii="Century Gothic" w:hAnsi="Century Gothic"/>
          <w:b/>
          <w:bCs/>
        </w:rPr>
        <w:t>ll’Ordinanza n. 620 del 16 ottobre 2020)</w:t>
      </w:r>
    </w:p>
    <w:p w14:paraId="1E993DA2" w14:textId="192D7DF2" w:rsidR="00A86AFB" w:rsidRDefault="00D46ABE" w:rsidP="00CD3FB5">
      <w:pPr>
        <w:pStyle w:val="NormaleWeb"/>
        <w:spacing w:before="0" w:beforeAutospacing="0" w:after="0" w:line="360" w:lineRule="auto"/>
        <w:jc w:val="both"/>
        <w:rPr>
          <w:rFonts w:ascii="Century Gothic" w:hAnsi="Century Gothic"/>
        </w:rPr>
      </w:pPr>
      <w:r w:rsidRPr="00A96C32">
        <w:rPr>
          <w:rFonts w:ascii="Century Gothic" w:hAnsi="Century Gothic"/>
        </w:rPr>
        <w:t>All</w:t>
      </w:r>
      <w:r w:rsidR="00A86AFB">
        <w:rPr>
          <w:rFonts w:ascii="Century Gothic" w:hAnsi="Century Gothic"/>
        </w:rPr>
        <w:t>’art. 1 dell’Ordinanza n. 620 del 16 ottobre 2020 sono apportate le seguenti modificazioni:</w:t>
      </w:r>
    </w:p>
    <w:p w14:paraId="41E59DA9" w14:textId="403BE9C5" w:rsidR="00D46ABE" w:rsidRPr="005010B9" w:rsidRDefault="00AC2889" w:rsidP="00371195">
      <w:pPr>
        <w:pStyle w:val="NormaleWeb"/>
        <w:spacing w:before="0" w:beforeAutospacing="0" w:after="0" w:line="360" w:lineRule="auto"/>
        <w:jc w:val="both"/>
        <w:rPr>
          <w:rFonts w:ascii="Century Gothic" w:hAnsi="Century Gothic"/>
        </w:rPr>
      </w:pPr>
      <w:r>
        <w:rPr>
          <w:rFonts w:ascii="Century Gothic" w:hAnsi="Century Gothic"/>
          <w:b/>
          <w:bCs/>
        </w:rPr>
        <w:lastRenderedPageBreak/>
        <w:t>a</w:t>
      </w:r>
      <w:r w:rsidR="00A86AFB" w:rsidRPr="00AC2889">
        <w:rPr>
          <w:rFonts w:ascii="Century Gothic" w:hAnsi="Century Gothic"/>
          <w:b/>
          <w:bCs/>
        </w:rPr>
        <w:t xml:space="preserve">) </w:t>
      </w:r>
      <w:r w:rsidR="00A86AFB" w:rsidRPr="005010B9">
        <w:rPr>
          <w:rFonts w:ascii="Century Gothic" w:hAnsi="Century Gothic"/>
        </w:rPr>
        <w:t>il paragrafo 1.1</w:t>
      </w:r>
      <w:r w:rsidRPr="005010B9">
        <w:rPr>
          <w:rFonts w:ascii="Century Gothic" w:hAnsi="Century Gothic"/>
        </w:rPr>
        <w:t xml:space="preserve"> è sostituito dal seguente:</w:t>
      </w:r>
    </w:p>
    <w:p w14:paraId="33F0C081" w14:textId="0E61011D" w:rsidR="00054392" w:rsidRPr="00A96C32" w:rsidRDefault="00054392" w:rsidP="00054392">
      <w:pPr>
        <w:pStyle w:val="NormaleWeb"/>
        <w:spacing w:before="0" w:beforeAutospacing="0" w:after="0" w:line="360" w:lineRule="auto"/>
        <w:jc w:val="both"/>
      </w:pPr>
      <w:r w:rsidRPr="00A96C32">
        <w:rPr>
          <w:rFonts w:ascii="Century Gothic" w:hAnsi="Century Gothic"/>
          <w:b/>
          <w:bCs/>
        </w:rPr>
        <w:t xml:space="preserve">1.1 </w:t>
      </w:r>
      <w:r w:rsidR="00A86AFB">
        <w:rPr>
          <w:rFonts w:ascii="Century Gothic" w:hAnsi="Century Gothic"/>
          <w:b/>
          <w:bCs/>
        </w:rPr>
        <w:t>(</w:t>
      </w:r>
      <w:r w:rsidR="004725A2" w:rsidRPr="00A96C32">
        <w:rPr>
          <w:rFonts w:ascii="Century Gothic" w:hAnsi="Century Gothic"/>
          <w:b/>
          <w:bCs/>
        </w:rPr>
        <w:t>Misure anti-</w:t>
      </w:r>
      <w:r w:rsidR="003B0AC8">
        <w:rPr>
          <w:rFonts w:ascii="Century Gothic" w:hAnsi="Century Gothic"/>
          <w:b/>
          <w:bCs/>
        </w:rPr>
        <w:t>assembramento</w:t>
      </w:r>
      <w:r w:rsidR="00A86AFB">
        <w:rPr>
          <w:rFonts w:ascii="Century Gothic" w:hAnsi="Century Gothic"/>
          <w:b/>
          <w:bCs/>
        </w:rPr>
        <w:t>)</w:t>
      </w:r>
    </w:p>
    <w:p w14:paraId="586ECD89" w14:textId="17439727" w:rsidR="00051727" w:rsidRPr="00BD7F5E" w:rsidRDefault="00051727" w:rsidP="00051727">
      <w:pPr>
        <w:pStyle w:val="Default"/>
        <w:spacing w:line="360" w:lineRule="auto"/>
        <w:jc w:val="both"/>
      </w:pPr>
      <w:r w:rsidRPr="00A96C32">
        <w:t xml:space="preserve">1. </w:t>
      </w:r>
      <w:r>
        <w:t xml:space="preserve">Le attività degli esercizi di somministrazione di alimenti e bevande </w:t>
      </w:r>
      <w:r w:rsidRPr="00A96C32">
        <w:t xml:space="preserve">sia su area </w:t>
      </w:r>
      <w:r w:rsidRPr="00BD7F5E">
        <w:t>pubblica che su area privata (fra cui</w:t>
      </w:r>
      <w:r>
        <w:t>,</w:t>
      </w:r>
      <w:r w:rsidRPr="00BD7F5E">
        <w:t xml:space="preserve"> </w:t>
      </w:r>
      <w:r>
        <w:t xml:space="preserve">a titolo esemplificativo, </w:t>
      </w:r>
      <w:r w:rsidRPr="00BD7F5E">
        <w:t>bar, pub, ristoranti, gelaterie, pasticcerie, rosticcerie, pizzerie, chioschi) sono consentite dalle ore 5,00 sino alle ore 23.00, con consumo al tavolo, e con un massimo per tavolo di sei persone</w:t>
      </w:r>
      <w:r w:rsidR="003E289E">
        <w:t xml:space="preserve"> (in tale numero non sono computati</w:t>
      </w:r>
      <w:r w:rsidRPr="00BD7F5E">
        <w:t xml:space="preserve"> conviventi e congiunti</w:t>
      </w:r>
      <w:r w:rsidR="003E289E">
        <w:t>)</w:t>
      </w:r>
      <w:r w:rsidRPr="00BD7F5E">
        <w:t xml:space="preserve">, e sino alle ore 18,00 in assenza di consumo al tavolo. Con la chiusura dei pubblici esercizi all'ora stabilita deve cessare ogni somministrazione agli avventori presenti ed effettuarsi lo sgombero del locale. Resta sempre consentita la ristorazione con consegna a domicilio nel rispetto delle norme igienico-sanitarie sia per l’attività di </w:t>
      </w:r>
      <w:r w:rsidRPr="00BD7F5E">
        <w:lastRenderedPageBreak/>
        <w:t>confezionamento che di trasporto, nonché, fino alle ore 23.00</w:t>
      </w:r>
      <w:r>
        <w:t>,</w:t>
      </w:r>
      <w:r w:rsidRPr="00BD7F5E">
        <w:t xml:space="preserve"> la ristorazione con asporto o con modalità drive-</w:t>
      </w:r>
      <w:proofErr w:type="spellStart"/>
      <w:r w:rsidRPr="00BD7F5E">
        <w:t>through</w:t>
      </w:r>
      <w:proofErr w:type="spellEnd"/>
      <w:r w:rsidRPr="00BD7F5E">
        <w:t xml:space="preserve">, con divieto di consumazione sul posto o nelle adiacenze. </w:t>
      </w:r>
    </w:p>
    <w:p w14:paraId="2DCFD7EA" w14:textId="731813E9" w:rsidR="00051727" w:rsidRPr="00BD7F5E" w:rsidRDefault="00051727" w:rsidP="00051727">
      <w:pPr>
        <w:pStyle w:val="Default"/>
        <w:spacing w:line="360" w:lineRule="auto"/>
        <w:jc w:val="both"/>
        <w:rPr>
          <w:rFonts w:eastAsia="Times New Roman" w:cs="Times New Roman"/>
        </w:rPr>
      </w:pPr>
      <w:r w:rsidRPr="00BD7F5E">
        <w:rPr>
          <w:rFonts w:eastAsia="Times New Roman" w:cs="Times New Roman"/>
        </w:rPr>
        <w:t xml:space="preserve">2. </w:t>
      </w:r>
      <w:proofErr w:type="gramStart"/>
      <w:r w:rsidRPr="00BD7F5E">
        <w:rPr>
          <w:rFonts w:eastAsia="Times New Roman" w:cs="Times New Roman"/>
        </w:rPr>
        <w:t>E’</w:t>
      </w:r>
      <w:proofErr w:type="gramEnd"/>
      <w:r w:rsidRPr="00BD7F5E">
        <w:rPr>
          <w:rFonts w:eastAsia="Times New Roman" w:cs="Times New Roman"/>
        </w:rPr>
        <w:t xml:space="preserve"> vietata la vendita per asporto di qualsiasi bevanda alcolica da parte di tutte le tipologie di esercizi </w:t>
      </w:r>
      <w:r w:rsidR="003B0AC8">
        <w:rPr>
          <w:rFonts w:eastAsia="Times New Roman" w:cs="Times New Roman"/>
        </w:rPr>
        <w:t>di somministrazione di alimenti e bevande</w:t>
      </w:r>
      <w:r w:rsidRPr="00BD7F5E">
        <w:rPr>
          <w:rFonts w:eastAsia="Times New Roman" w:cs="Times New Roman"/>
        </w:rPr>
        <w:t xml:space="preserve"> dalle ore 18.00 alle ore 5.00</w:t>
      </w:r>
      <w:r w:rsidRPr="00BD7F5E">
        <w:t>; in tale arco orario la vendita di bevande alcoliche da parte dei predetti esercizi è consentita solo mediante consegna a domicilio</w:t>
      </w:r>
      <w:r>
        <w:t>.</w:t>
      </w:r>
    </w:p>
    <w:p w14:paraId="199AE901" w14:textId="77777777" w:rsidR="00051727" w:rsidRPr="00BD7F5E" w:rsidRDefault="00051727" w:rsidP="00051727">
      <w:pPr>
        <w:pStyle w:val="Default"/>
        <w:spacing w:line="360" w:lineRule="auto"/>
        <w:jc w:val="both"/>
      </w:pPr>
      <w:r w:rsidRPr="00BD7F5E">
        <w:t xml:space="preserve">3. Sono chiusi dalle 18.00 alle 5.00 i distributori automatici cosiddetti “h24” che distribuiscono bevande e alimenti confezionati, con affaccio sulla pubblica via; tale misura non si applica ai distributori automatici di </w:t>
      </w:r>
      <w:r w:rsidRPr="00391D5A">
        <w:t>latte e acqua.</w:t>
      </w:r>
    </w:p>
    <w:p w14:paraId="66E9794B" w14:textId="2682CC7C" w:rsidR="00051727" w:rsidRDefault="00051727" w:rsidP="00051727">
      <w:pPr>
        <w:pStyle w:val="Default"/>
        <w:spacing w:line="360" w:lineRule="auto"/>
        <w:jc w:val="both"/>
        <w:rPr>
          <w:rFonts w:eastAsia="Times New Roman" w:cs="Times New Roman"/>
        </w:rPr>
      </w:pPr>
      <w:r>
        <w:rPr>
          <w:rFonts w:eastAsia="Times New Roman" w:cs="Times New Roman"/>
        </w:rPr>
        <w:lastRenderedPageBreak/>
        <w:t>4. I divieti di cui ai precedenti punti non si applicano agli esercizi commerciali e a</w:t>
      </w:r>
      <w:r w:rsidR="004C10E0">
        <w:rPr>
          <w:rFonts w:eastAsia="Times New Roman" w:cs="Times New Roman"/>
        </w:rPr>
        <w:t>gl</w:t>
      </w:r>
      <w:r>
        <w:rPr>
          <w:rFonts w:eastAsia="Times New Roman" w:cs="Times New Roman"/>
        </w:rPr>
        <w:t xml:space="preserve">i esercizi </w:t>
      </w:r>
      <w:r w:rsidR="004C10E0">
        <w:rPr>
          <w:rFonts w:eastAsia="Times New Roman" w:cs="Times New Roman"/>
        </w:rPr>
        <w:t xml:space="preserve">di somministrazione di alimenti e bevande </w:t>
      </w:r>
      <w:r>
        <w:rPr>
          <w:rFonts w:eastAsia="Times New Roman" w:cs="Times New Roman"/>
        </w:rPr>
        <w:t xml:space="preserve">presenti sulla rete autostradale, sulle tangenziali e negli aeroporti. </w:t>
      </w:r>
    </w:p>
    <w:p w14:paraId="25DF1959" w14:textId="77777777" w:rsidR="00051727" w:rsidRPr="00A96C32" w:rsidRDefault="00051727" w:rsidP="00051727">
      <w:pPr>
        <w:pStyle w:val="Default"/>
        <w:spacing w:line="360" w:lineRule="auto"/>
        <w:jc w:val="both"/>
        <w:rPr>
          <w:rFonts w:eastAsia="Times New Roman" w:cs="Times New Roman"/>
        </w:rPr>
      </w:pPr>
      <w:r>
        <w:rPr>
          <w:rFonts w:eastAsia="Times New Roman" w:cs="Times New Roman"/>
        </w:rPr>
        <w:t>5</w:t>
      </w:r>
      <w:r w:rsidRPr="00BD7F5E">
        <w:rPr>
          <w:rFonts w:eastAsia="Times New Roman" w:cs="Times New Roman"/>
        </w:rPr>
        <w:t xml:space="preserve">. </w:t>
      </w:r>
      <w:proofErr w:type="gramStart"/>
      <w:r w:rsidRPr="00BD7F5E">
        <w:rPr>
          <w:rFonts w:eastAsia="Times New Roman" w:cs="Times New Roman"/>
        </w:rPr>
        <w:t>E’</w:t>
      </w:r>
      <w:proofErr w:type="gramEnd"/>
      <w:r w:rsidRPr="00BD7F5E">
        <w:rPr>
          <w:rFonts w:eastAsia="Times New Roman" w:cs="Times New Roman"/>
        </w:rPr>
        <w:t xml:space="preserve"> vietata dalle 18.00 alle 5.00 la consumazione di alimenti e bevande su aree aperte al pubblico</w:t>
      </w:r>
      <w:r>
        <w:rPr>
          <w:rFonts w:eastAsia="Times New Roman" w:cs="Times New Roman"/>
        </w:rPr>
        <w:t>.</w:t>
      </w:r>
    </w:p>
    <w:p w14:paraId="7ADC42C5" w14:textId="77777777" w:rsidR="00051727" w:rsidRPr="00A96C32" w:rsidRDefault="00051727" w:rsidP="00051727">
      <w:pPr>
        <w:pStyle w:val="Default"/>
        <w:spacing w:line="360" w:lineRule="auto"/>
        <w:jc w:val="both"/>
        <w:rPr>
          <w:rFonts w:eastAsia="Times New Roman" w:cs="Times New Roman"/>
        </w:rPr>
      </w:pPr>
      <w:r>
        <w:rPr>
          <w:rFonts w:eastAsia="Times New Roman" w:cs="Times New Roman"/>
        </w:rPr>
        <w:t>6.</w:t>
      </w:r>
      <w:r w:rsidRPr="00A96C32">
        <w:rPr>
          <w:rFonts w:eastAsia="Times New Roman" w:cs="Times New Roman"/>
        </w:rPr>
        <w:t xml:space="preserve"> </w:t>
      </w:r>
      <w:proofErr w:type="gramStart"/>
      <w:r w:rsidRPr="00A96C32">
        <w:rPr>
          <w:rFonts w:eastAsia="Times New Roman" w:cs="Times New Roman"/>
        </w:rPr>
        <w:t>E’</w:t>
      </w:r>
      <w:proofErr w:type="gramEnd"/>
      <w:r w:rsidRPr="00A96C32">
        <w:rPr>
          <w:rFonts w:eastAsia="Times New Roman" w:cs="Times New Roman"/>
        </w:rPr>
        <w:t xml:space="preserve"> sempre vietato il consumo di bevande alcoliche di qualsiasi gradazione nelle aree pubbliche compresi parchi, giardini e ville aperte al pubblico</w:t>
      </w:r>
      <w:r>
        <w:rPr>
          <w:rFonts w:eastAsia="Times New Roman" w:cs="Times New Roman"/>
        </w:rPr>
        <w:t>.</w:t>
      </w:r>
    </w:p>
    <w:p w14:paraId="6EFA7ECB" w14:textId="77777777" w:rsidR="00051727" w:rsidRDefault="00051727" w:rsidP="00051727">
      <w:pPr>
        <w:pStyle w:val="Default"/>
        <w:spacing w:line="360" w:lineRule="auto"/>
        <w:jc w:val="both"/>
        <w:rPr>
          <w:rFonts w:eastAsia="Times New Roman" w:cs="Times New Roman"/>
        </w:rPr>
      </w:pPr>
      <w:r>
        <w:rPr>
          <w:rFonts w:eastAsia="Times New Roman" w:cs="Times New Roman"/>
        </w:rPr>
        <w:t>7</w:t>
      </w:r>
      <w:r w:rsidRPr="00A96C32">
        <w:rPr>
          <w:rFonts w:eastAsia="Times New Roman" w:cs="Times New Roman"/>
        </w:rPr>
        <w:t>. I sindaci possono adottare ulteriori misure restrittive, anche in relazione al divieto assoluto di assembramento, e devono assicurare massima collaborazione ai fini del controllo sul rispetto delle presenti misure.</w:t>
      </w:r>
    </w:p>
    <w:p w14:paraId="04F4A4F8" w14:textId="77777777" w:rsidR="0001100B" w:rsidRPr="00A96C32" w:rsidRDefault="0001100B" w:rsidP="0001100B">
      <w:pPr>
        <w:pStyle w:val="NormaleWeb"/>
        <w:spacing w:before="0" w:beforeAutospacing="0" w:after="0" w:line="360" w:lineRule="auto"/>
        <w:jc w:val="both"/>
        <w:rPr>
          <w:rFonts w:ascii="Century Gothic" w:hAnsi="Century Gothic"/>
          <w:b/>
          <w:bCs/>
        </w:rPr>
      </w:pPr>
    </w:p>
    <w:p w14:paraId="6FC130DC" w14:textId="4AAE2C3F" w:rsidR="0001100B" w:rsidRPr="005010B9" w:rsidRDefault="00AC2889" w:rsidP="00AC2889">
      <w:pPr>
        <w:pStyle w:val="NormaleWeb"/>
        <w:spacing w:before="0" w:beforeAutospacing="0" w:after="0" w:line="360" w:lineRule="auto"/>
        <w:jc w:val="both"/>
      </w:pPr>
      <w:r>
        <w:rPr>
          <w:rFonts w:ascii="Century Gothic" w:hAnsi="Century Gothic"/>
          <w:b/>
          <w:bCs/>
        </w:rPr>
        <w:t xml:space="preserve">b) </w:t>
      </w:r>
      <w:r w:rsidRPr="005010B9">
        <w:rPr>
          <w:rFonts w:ascii="Century Gothic" w:hAnsi="Century Gothic"/>
        </w:rPr>
        <w:t>il paragrafo 1.3 è sostituito dal seguente:</w:t>
      </w:r>
    </w:p>
    <w:p w14:paraId="151058F3" w14:textId="77777777" w:rsidR="00051727" w:rsidRPr="00C93AC3" w:rsidRDefault="0001100B" w:rsidP="00051727">
      <w:pPr>
        <w:pStyle w:val="NormaleWeb"/>
        <w:spacing w:before="0" w:beforeAutospacing="0" w:after="0" w:line="360" w:lineRule="auto"/>
        <w:jc w:val="both"/>
        <w:rPr>
          <w:rFonts w:ascii="Century Gothic" w:hAnsi="Century Gothic"/>
          <w:b/>
          <w:bCs/>
        </w:rPr>
      </w:pPr>
      <w:r w:rsidRPr="00A96C32">
        <w:rPr>
          <w:b/>
          <w:bCs/>
        </w:rPr>
        <w:lastRenderedPageBreak/>
        <w:t xml:space="preserve">1.3 </w:t>
      </w:r>
      <w:r w:rsidR="00051727" w:rsidRPr="00C93AC3">
        <w:rPr>
          <w:rFonts w:ascii="Century Gothic" w:hAnsi="Century Gothic"/>
          <w:b/>
          <w:bCs/>
        </w:rPr>
        <w:t xml:space="preserve">(Sport di contatto dilettantistici) </w:t>
      </w:r>
    </w:p>
    <w:p w14:paraId="2F312EC8" w14:textId="45708693" w:rsidR="00051727" w:rsidRDefault="00051727" w:rsidP="00051727">
      <w:pPr>
        <w:pStyle w:val="Default"/>
        <w:spacing w:line="360" w:lineRule="auto"/>
        <w:jc w:val="both"/>
      </w:pPr>
      <w:r w:rsidRPr="00A96C32">
        <w:t xml:space="preserve">1. </w:t>
      </w:r>
      <w:r>
        <w:t>S</w:t>
      </w:r>
      <w:r w:rsidRPr="00A96C32">
        <w:t>ono sospese tutte le gare</w:t>
      </w:r>
      <w:r>
        <w:t xml:space="preserve"> e</w:t>
      </w:r>
      <w:r w:rsidRPr="00A96C32">
        <w:t xml:space="preserve"> le competizioni </w:t>
      </w:r>
      <w:r>
        <w:t>riconosciute di interesse regionale</w:t>
      </w:r>
      <w:r w:rsidR="004C10E0">
        <w:t>, provinciale</w:t>
      </w:r>
      <w:r>
        <w:t xml:space="preserve"> o locale dal Comitato olimpico nazionale italiano (CONI), dal Comitato italiano paralimpico (CIP) e dalle rispettive federazioni sportive nazionali, discipline sportive associate, enti di promozione sportiva, ovvero organizzati da organismi sportivi internazionali, in relazione agli sport di contatto</w:t>
      </w:r>
      <w:r w:rsidRPr="00A96C32">
        <w:t xml:space="preserve"> individuati con provvedimento del Ministro dello Sport del 13 ottobre 2020</w:t>
      </w:r>
      <w:r>
        <w:t xml:space="preserve"> e svolti </w:t>
      </w:r>
      <w:r w:rsidRPr="00A96C32">
        <w:t>dalle associazioni e societ</w:t>
      </w:r>
      <w:r w:rsidRPr="00A96C32">
        <w:rPr>
          <w:rFonts w:cs="Century Gothic"/>
        </w:rPr>
        <w:t>à</w:t>
      </w:r>
      <w:r w:rsidRPr="00A96C32">
        <w:t xml:space="preserve"> dilettantistiche. </w:t>
      </w:r>
    </w:p>
    <w:p w14:paraId="0CDC7398" w14:textId="42553138" w:rsidR="00051727" w:rsidRDefault="00051727" w:rsidP="00051727">
      <w:pPr>
        <w:pStyle w:val="Default"/>
        <w:spacing w:line="360" w:lineRule="auto"/>
        <w:jc w:val="both"/>
      </w:pPr>
      <w:r w:rsidRPr="0093743E">
        <w:t>2.</w:t>
      </w:r>
      <w:r>
        <w:rPr>
          <w:b/>
          <w:bCs/>
        </w:rPr>
        <w:t xml:space="preserve"> </w:t>
      </w:r>
      <w:r w:rsidR="001E1D64" w:rsidRPr="001E1D64">
        <w:t>Tutte le società</w:t>
      </w:r>
      <w:r w:rsidR="001E1D64">
        <w:t xml:space="preserve"> ed </w:t>
      </w:r>
      <w:r w:rsidR="001E1D64" w:rsidRPr="0051519B">
        <w:t xml:space="preserve">associazioni </w:t>
      </w:r>
      <w:r w:rsidR="001E1D64">
        <w:t xml:space="preserve">dilettantistiche degli sport di contatto possono svolgere </w:t>
      </w:r>
      <w:r w:rsidR="001E1D64" w:rsidRPr="0051519B">
        <w:t>in forma individuale</w:t>
      </w:r>
      <w:r w:rsidR="001E1D64">
        <w:t xml:space="preserve"> g</w:t>
      </w:r>
      <w:r w:rsidRPr="0051519B">
        <w:t>li allenamenti e la preparazione atletica</w:t>
      </w:r>
      <w:r w:rsidR="001E1D64">
        <w:t>, a condizione che</w:t>
      </w:r>
      <w:r w:rsidRPr="0051519B">
        <w:t xml:space="preserve"> vi sia assoluta garanzia che, a cura</w:t>
      </w:r>
      <w:r w:rsidR="001E1D64">
        <w:t xml:space="preserve"> delle stesse </w:t>
      </w:r>
      <w:r w:rsidR="001E1D64">
        <w:lastRenderedPageBreak/>
        <w:t>società ed associazioni</w:t>
      </w:r>
      <w:r w:rsidRPr="0051519B">
        <w:t xml:space="preserve">, siano </w:t>
      </w:r>
      <w:r>
        <w:t>osservate</w:t>
      </w:r>
      <w:r w:rsidRPr="0051519B">
        <w:t xml:space="preserve"> le </w:t>
      </w:r>
      <w:r>
        <w:t xml:space="preserve">misure di prevenzione dal contagio, ivi compreso il rispetto continuativo delle </w:t>
      </w:r>
      <w:r w:rsidRPr="0051519B">
        <w:t>distanze interpersonali di almeno due metri.</w:t>
      </w:r>
    </w:p>
    <w:p w14:paraId="5E00395E" w14:textId="004B45E5" w:rsidR="00F155D2" w:rsidRDefault="00F155D2" w:rsidP="00051727">
      <w:pPr>
        <w:pStyle w:val="Default"/>
        <w:spacing w:line="360" w:lineRule="auto"/>
        <w:jc w:val="both"/>
      </w:pPr>
    </w:p>
    <w:p w14:paraId="59774907" w14:textId="6A372BEA" w:rsidR="00B7440A" w:rsidRDefault="00B7440A" w:rsidP="00AC2889">
      <w:pPr>
        <w:pStyle w:val="Default"/>
        <w:spacing w:line="360" w:lineRule="auto"/>
        <w:jc w:val="both"/>
      </w:pPr>
      <w:r w:rsidRPr="00CD3797">
        <w:rPr>
          <w:b/>
          <w:bCs/>
        </w:rPr>
        <w:t>c)</w:t>
      </w:r>
      <w:r w:rsidRPr="00B7440A">
        <w:t xml:space="preserve"> </w:t>
      </w:r>
      <w:r w:rsidRPr="005010B9">
        <w:t>il paragrafo 1.</w:t>
      </w:r>
      <w:r>
        <w:t>9</w:t>
      </w:r>
      <w:r w:rsidRPr="005010B9">
        <w:t xml:space="preserve"> è sostituito dal seguente:</w:t>
      </w:r>
    </w:p>
    <w:p w14:paraId="679536D9" w14:textId="77777777" w:rsidR="00B7440A" w:rsidRPr="00A96C32" w:rsidRDefault="00B7440A" w:rsidP="00B7440A">
      <w:pPr>
        <w:spacing w:after="0" w:line="360" w:lineRule="auto"/>
        <w:jc w:val="both"/>
        <w:rPr>
          <w:rFonts w:ascii="Century Gothic" w:hAnsi="Century Gothic"/>
          <w:b/>
          <w:bCs/>
          <w:sz w:val="24"/>
          <w:szCs w:val="24"/>
        </w:rPr>
      </w:pPr>
      <w:r w:rsidRPr="00A96C32">
        <w:rPr>
          <w:rFonts w:ascii="Century Gothic" w:hAnsi="Century Gothic"/>
          <w:b/>
          <w:bCs/>
          <w:sz w:val="24"/>
          <w:szCs w:val="24"/>
        </w:rPr>
        <w:t>1.9 (Misure di prevenzione in ordine alle attività scolastiche)</w:t>
      </w:r>
    </w:p>
    <w:p w14:paraId="37622020" w14:textId="6B3E647D" w:rsidR="001E1D64" w:rsidRPr="00B7440A" w:rsidRDefault="001E1D64" w:rsidP="001E1D64">
      <w:pPr>
        <w:pStyle w:val="Default"/>
        <w:spacing w:line="360" w:lineRule="auto"/>
        <w:jc w:val="both"/>
      </w:pPr>
      <w:r>
        <w:t xml:space="preserve">1. </w:t>
      </w:r>
      <w:r w:rsidR="00CE164E">
        <w:t xml:space="preserve"> </w:t>
      </w:r>
      <w:r w:rsidR="003E289E">
        <w:t xml:space="preserve"> </w:t>
      </w:r>
      <w:r w:rsidRPr="00A96C32">
        <w:t>Le scuole secondarie di secondo grado e le istituzioni formative professionali secondarie di secondo grado</w:t>
      </w:r>
      <w:r>
        <w:t xml:space="preserve"> </w:t>
      </w:r>
      <w:r w:rsidRPr="00A96C32">
        <w:t xml:space="preserve">devono </w:t>
      </w:r>
      <w:r w:rsidR="00504490">
        <w:t>realizzare</w:t>
      </w:r>
      <w:r w:rsidRPr="00B7440A">
        <w:t xml:space="preserve"> </w:t>
      </w:r>
      <w:r>
        <w:t>l</w:t>
      </w:r>
      <w:r w:rsidR="00D90AFF">
        <w:t>e proprie attività</w:t>
      </w:r>
      <w:r w:rsidR="00504490">
        <w:t xml:space="preserve"> in modo da assicurare il pieno svolgimento </w:t>
      </w:r>
      <w:r w:rsidR="004C10E0">
        <w:t xml:space="preserve">mediante la didattica digitale integrata (DDI) </w:t>
      </w:r>
      <w:r w:rsidR="00504490">
        <w:t xml:space="preserve">delle lezioni, </w:t>
      </w:r>
      <w:r>
        <w:t>qualora siano già nelle condizioni di effettuarla</w:t>
      </w:r>
      <w:r w:rsidR="003E289E">
        <w:t xml:space="preserve"> e</w:t>
      </w:r>
      <w:r w:rsidR="00504490">
        <w:t xml:space="preserve"> fatti salvi eventuali bisogni educativi speciali</w:t>
      </w:r>
      <w:r w:rsidRPr="00B7440A">
        <w:t>.</w:t>
      </w:r>
      <w:r>
        <w:t xml:space="preserve"> Agli altri istituti è raccomandato </w:t>
      </w:r>
      <w:r w:rsidR="00BD344F">
        <w:t>di</w:t>
      </w:r>
      <w:r>
        <w:t xml:space="preserve"> </w:t>
      </w:r>
      <w:r w:rsidR="00BD344F">
        <w:t>realizzare</w:t>
      </w:r>
      <w:r>
        <w:t xml:space="preserve"> </w:t>
      </w:r>
      <w:r>
        <w:lastRenderedPageBreak/>
        <w:t xml:space="preserve">le condizioni tecnico-organizzative nel più breve tempo possibile, per lo svolgimento della </w:t>
      </w:r>
      <w:r w:rsidR="00504490">
        <w:t>DDI</w:t>
      </w:r>
      <w:r>
        <w:t>.</w:t>
      </w:r>
    </w:p>
    <w:p w14:paraId="4A77501B" w14:textId="3C94127F" w:rsidR="001E1D64" w:rsidRDefault="00504490" w:rsidP="001E1D64">
      <w:pPr>
        <w:pStyle w:val="Default"/>
        <w:spacing w:line="360" w:lineRule="auto"/>
        <w:jc w:val="both"/>
      </w:pPr>
      <w:r>
        <w:t>L</w:t>
      </w:r>
      <w:r w:rsidR="001E1D64" w:rsidRPr="00B7440A">
        <w:t>e attività di laboratorio continuano ad essere svolte in presenza</w:t>
      </w:r>
      <w:r>
        <w:t xml:space="preserve"> mentre l</w:t>
      </w:r>
      <w:r w:rsidR="001E1D64" w:rsidRPr="00B7440A">
        <w:t>e attività di tirocinio esterno</w:t>
      </w:r>
      <w:r w:rsidR="001E1D64">
        <w:t>,</w:t>
      </w:r>
      <w:r w:rsidR="001E1D64" w:rsidRPr="00B7440A">
        <w:t xml:space="preserve"> ove presenti</w:t>
      </w:r>
      <w:r w:rsidR="001E1D64">
        <w:t>,</w:t>
      </w:r>
      <w:r w:rsidR="001E1D64" w:rsidRPr="00B7440A">
        <w:t xml:space="preserve"> concorrono a</w:t>
      </w:r>
      <w:r w:rsidR="001E1D64">
        <w:t>lla</w:t>
      </w:r>
      <w:r w:rsidR="001E1D64" w:rsidRPr="00B7440A">
        <w:t xml:space="preserve"> didattica a distanza.</w:t>
      </w:r>
    </w:p>
    <w:p w14:paraId="5E48E589" w14:textId="16698878" w:rsidR="001E1D64" w:rsidRDefault="001E1D64" w:rsidP="001E1D64">
      <w:pPr>
        <w:pStyle w:val="Default"/>
        <w:spacing w:line="360" w:lineRule="auto"/>
        <w:jc w:val="both"/>
      </w:pPr>
      <w:r>
        <w:t>Si raccomanda che i</w:t>
      </w:r>
      <w:r w:rsidRPr="00251E4F">
        <w:t xml:space="preserve"> dirigent</w:t>
      </w:r>
      <w:r>
        <w:t>i</w:t>
      </w:r>
      <w:r w:rsidRPr="00251E4F">
        <w:t xml:space="preserve"> </w:t>
      </w:r>
      <w:r>
        <w:t xml:space="preserve">degli istituti </w:t>
      </w:r>
      <w:r w:rsidRPr="00251E4F">
        <w:t>scolastic</w:t>
      </w:r>
      <w:r>
        <w:t>i</w:t>
      </w:r>
      <w:r w:rsidRPr="00251E4F">
        <w:t xml:space="preserve"> organizz</w:t>
      </w:r>
      <w:r>
        <w:t>ino</w:t>
      </w:r>
      <w:r w:rsidRPr="00251E4F">
        <w:t xml:space="preserve"> e differenzi</w:t>
      </w:r>
      <w:r>
        <w:t>no</w:t>
      </w:r>
      <w:r w:rsidRPr="00251E4F">
        <w:t xml:space="preserve"> gli ingressi</w:t>
      </w:r>
      <w:r>
        <w:t xml:space="preserve"> a scuola; a tal fine g</w:t>
      </w:r>
      <w:r w:rsidRPr="0010069B">
        <w:t>li Uffici di ambito territoriale (UAT)</w:t>
      </w:r>
      <w:r>
        <w:t xml:space="preserve">, </w:t>
      </w:r>
      <w:r w:rsidRPr="0010069B">
        <w:t>in raccordo con gli Uffici scolastici regionali (USR),</w:t>
      </w:r>
      <w:r>
        <w:t xml:space="preserve"> assicura</w:t>
      </w:r>
      <w:r w:rsidR="00BD344F">
        <w:t>no</w:t>
      </w:r>
      <w:r>
        <w:t xml:space="preserve"> lo stretto coordinamento con le</w:t>
      </w:r>
      <w:r w:rsidRPr="00251E4F">
        <w:t xml:space="preserve"> Agenzie del TPL e</w:t>
      </w:r>
      <w:r>
        <w:t xml:space="preserve">d i </w:t>
      </w:r>
      <w:r w:rsidRPr="00251E4F">
        <w:t>sindaci</w:t>
      </w:r>
      <w:r>
        <w:t xml:space="preserve"> degli ambiti di riferimento</w:t>
      </w:r>
      <w:r w:rsidRPr="00251E4F">
        <w:t>.</w:t>
      </w:r>
    </w:p>
    <w:p w14:paraId="187DC4AF" w14:textId="2BEF2EFD" w:rsidR="00CD3797" w:rsidRDefault="00CD3797" w:rsidP="00B7440A">
      <w:pPr>
        <w:pStyle w:val="Default"/>
        <w:spacing w:line="360" w:lineRule="auto"/>
        <w:jc w:val="both"/>
      </w:pPr>
    </w:p>
    <w:p w14:paraId="05D606BC" w14:textId="29C76581" w:rsidR="0051519B" w:rsidRDefault="00E85E68" w:rsidP="00054392">
      <w:pPr>
        <w:pStyle w:val="NormaleWeb"/>
        <w:spacing w:before="0" w:beforeAutospacing="0" w:after="0" w:line="360" w:lineRule="auto"/>
        <w:jc w:val="both"/>
        <w:rPr>
          <w:rFonts w:ascii="Century Gothic" w:hAnsi="Century Gothic"/>
        </w:rPr>
      </w:pPr>
      <w:r>
        <w:rPr>
          <w:rFonts w:ascii="Century Gothic" w:hAnsi="Century Gothic"/>
          <w:b/>
          <w:bCs/>
        </w:rPr>
        <w:t>d</w:t>
      </w:r>
      <w:r w:rsidR="0051519B">
        <w:rPr>
          <w:rFonts w:ascii="Century Gothic" w:hAnsi="Century Gothic"/>
          <w:b/>
          <w:bCs/>
        </w:rPr>
        <w:t xml:space="preserve">) </w:t>
      </w:r>
      <w:r w:rsidR="005010B9" w:rsidRPr="005010B9">
        <w:rPr>
          <w:rFonts w:ascii="Century Gothic" w:hAnsi="Century Gothic"/>
        </w:rPr>
        <w:t>al fine di assicurare il pieno allineamento formale a</w:t>
      </w:r>
      <w:r w:rsidR="005010B9">
        <w:rPr>
          <w:rFonts w:ascii="Century Gothic" w:hAnsi="Century Gothic"/>
        </w:rPr>
        <w:t>lla disposizione</w:t>
      </w:r>
      <w:r w:rsidR="005010B9" w:rsidRPr="005010B9">
        <w:rPr>
          <w:rFonts w:ascii="Century Gothic" w:hAnsi="Century Gothic"/>
        </w:rPr>
        <w:t xml:space="preserve"> previsto </w:t>
      </w:r>
      <w:r w:rsidR="005010B9">
        <w:rPr>
          <w:rFonts w:ascii="Century Gothic" w:hAnsi="Century Gothic"/>
        </w:rPr>
        <w:t>d</w:t>
      </w:r>
      <w:r w:rsidR="005010B9" w:rsidRPr="005010B9">
        <w:rPr>
          <w:rFonts w:ascii="Century Gothic" w:hAnsi="Century Gothic"/>
        </w:rPr>
        <w:t>al paragrafo 1.2 dell’Ordinanza n. 620 del 16 ottobre 2020,</w:t>
      </w:r>
      <w:r w:rsidR="005010B9">
        <w:rPr>
          <w:rFonts w:ascii="Century Gothic" w:hAnsi="Century Gothic"/>
          <w:b/>
          <w:bCs/>
        </w:rPr>
        <w:t xml:space="preserve"> </w:t>
      </w:r>
      <w:r w:rsidR="0051519B" w:rsidRPr="0051519B">
        <w:rPr>
          <w:rFonts w:ascii="Century Gothic" w:hAnsi="Century Gothic"/>
        </w:rPr>
        <w:t xml:space="preserve">dall’elenco puntato di cui al </w:t>
      </w:r>
      <w:r w:rsidR="0051519B" w:rsidRPr="0051519B">
        <w:rPr>
          <w:rFonts w:ascii="Century Gothic" w:hAnsi="Century Gothic"/>
        </w:rPr>
        <w:lastRenderedPageBreak/>
        <w:t xml:space="preserve">paragrafo 1.4 sono eliminate le parole </w:t>
      </w:r>
      <w:r w:rsidR="005010B9">
        <w:rPr>
          <w:rFonts w:ascii="Century Gothic" w:hAnsi="Century Gothic"/>
        </w:rPr>
        <w:t>“</w:t>
      </w:r>
      <w:r w:rsidR="0051519B" w:rsidRPr="0051519B">
        <w:rPr>
          <w:rFonts w:ascii="Century Gothic" w:hAnsi="Century Gothic"/>
        </w:rPr>
        <w:t>Sale Slot, Sale Giochi, Sale Bingo e Sale Scommesse</w:t>
      </w:r>
      <w:r w:rsidR="005010B9">
        <w:rPr>
          <w:rFonts w:ascii="Century Gothic" w:hAnsi="Century Gothic"/>
        </w:rPr>
        <w:t>”</w:t>
      </w:r>
      <w:r w:rsidR="0051519B" w:rsidRPr="0051519B">
        <w:rPr>
          <w:rFonts w:ascii="Century Gothic" w:hAnsi="Century Gothic"/>
        </w:rPr>
        <w:t xml:space="preserve">; dalle Linee guida in allegato 1 alla stessa OPGR n. 620 del 16 ottobre 2020 </w:t>
      </w:r>
      <w:proofErr w:type="spellStart"/>
      <w:r w:rsidR="0051519B" w:rsidRPr="0051519B">
        <w:rPr>
          <w:rFonts w:ascii="Century Gothic" w:hAnsi="Century Gothic"/>
        </w:rPr>
        <w:t>é</w:t>
      </w:r>
      <w:proofErr w:type="spellEnd"/>
      <w:r w:rsidR="0051519B" w:rsidRPr="0051519B">
        <w:rPr>
          <w:rFonts w:ascii="Century Gothic" w:hAnsi="Century Gothic"/>
        </w:rPr>
        <w:t xml:space="preserve"> </w:t>
      </w:r>
      <w:r w:rsidR="005010B9">
        <w:rPr>
          <w:rFonts w:ascii="Century Gothic" w:hAnsi="Century Gothic"/>
        </w:rPr>
        <w:t xml:space="preserve">altresì </w:t>
      </w:r>
      <w:r w:rsidR="0051519B" w:rsidRPr="0051519B">
        <w:rPr>
          <w:rFonts w:ascii="Century Gothic" w:hAnsi="Century Gothic"/>
        </w:rPr>
        <w:t xml:space="preserve">eliminata la scheda relativa a Sale Slot, Sale </w:t>
      </w:r>
      <w:r w:rsidR="0051519B" w:rsidRPr="005010B9">
        <w:rPr>
          <w:rFonts w:ascii="Century Gothic" w:hAnsi="Century Gothic"/>
        </w:rPr>
        <w:t xml:space="preserve">Giochi, Sale Bingo e Sale Scommesse con conseguente eliminazione dal punto elenco </w:t>
      </w:r>
      <w:r w:rsidR="005010B9" w:rsidRPr="005010B9">
        <w:rPr>
          <w:rFonts w:ascii="Century Gothic" w:hAnsi="Century Gothic"/>
        </w:rPr>
        <w:t>presente a pag. 2</w:t>
      </w:r>
    </w:p>
    <w:p w14:paraId="110954CC" w14:textId="137BE51C" w:rsidR="008B52B5" w:rsidRDefault="008B52B5" w:rsidP="00054392">
      <w:pPr>
        <w:pStyle w:val="NormaleWeb"/>
        <w:spacing w:before="0" w:beforeAutospacing="0" w:after="0" w:line="360" w:lineRule="auto"/>
        <w:jc w:val="both"/>
        <w:rPr>
          <w:rFonts w:ascii="Century Gothic" w:hAnsi="Century Gothic"/>
        </w:rPr>
      </w:pPr>
    </w:p>
    <w:p w14:paraId="530EDA7C" w14:textId="0A63DD35" w:rsidR="00D46ABE" w:rsidRPr="00A96C32" w:rsidRDefault="00D46ABE" w:rsidP="00371195">
      <w:pPr>
        <w:pStyle w:val="NormaleWeb"/>
        <w:spacing w:before="0" w:beforeAutospacing="0" w:after="0" w:line="360" w:lineRule="auto"/>
        <w:jc w:val="both"/>
      </w:pPr>
      <w:r w:rsidRPr="00A96C32">
        <w:rPr>
          <w:rFonts w:ascii="Century Gothic" w:hAnsi="Century Gothic"/>
          <w:b/>
          <w:bCs/>
        </w:rPr>
        <w:t xml:space="preserve">Art. </w:t>
      </w:r>
      <w:r w:rsidR="000C079F">
        <w:rPr>
          <w:rFonts w:ascii="Century Gothic" w:hAnsi="Century Gothic"/>
          <w:b/>
          <w:bCs/>
        </w:rPr>
        <w:t>6</w:t>
      </w:r>
      <w:r w:rsidRPr="00A96C32">
        <w:rPr>
          <w:rFonts w:ascii="Century Gothic" w:hAnsi="Century Gothic"/>
          <w:b/>
          <w:bCs/>
        </w:rPr>
        <w:t xml:space="preserve"> (Disposizioni finali)</w:t>
      </w:r>
    </w:p>
    <w:p w14:paraId="7BE0AA40" w14:textId="2C2BECEA" w:rsidR="00D46ABE" w:rsidRPr="00A96C32" w:rsidRDefault="00D46ABE" w:rsidP="00BD344F">
      <w:pPr>
        <w:pStyle w:val="NormaleWeb"/>
        <w:numPr>
          <w:ilvl w:val="0"/>
          <w:numId w:val="8"/>
        </w:numPr>
        <w:tabs>
          <w:tab w:val="clear" w:pos="720"/>
          <w:tab w:val="left" w:pos="284"/>
        </w:tabs>
        <w:spacing w:before="0" w:beforeAutospacing="0" w:after="0" w:line="360" w:lineRule="auto"/>
        <w:ind w:left="0" w:firstLine="0"/>
        <w:jc w:val="both"/>
      </w:pPr>
      <w:r w:rsidRPr="00A96C32">
        <w:rPr>
          <w:rFonts w:ascii="Century Gothic" w:hAnsi="Century Gothic"/>
        </w:rPr>
        <w:t xml:space="preserve">Le disposizioni della presente ordinanza producono i loro effetti dalla data del </w:t>
      </w:r>
      <w:r w:rsidR="008B52B5">
        <w:rPr>
          <w:rFonts w:ascii="Century Gothic" w:hAnsi="Century Gothic"/>
        </w:rPr>
        <w:t>2</w:t>
      </w:r>
      <w:r w:rsidR="00BD344F">
        <w:rPr>
          <w:rFonts w:ascii="Century Gothic" w:hAnsi="Century Gothic"/>
        </w:rPr>
        <w:t>2</w:t>
      </w:r>
      <w:r w:rsidR="00565458" w:rsidRPr="00A96C32">
        <w:rPr>
          <w:rFonts w:ascii="Century Gothic" w:hAnsi="Century Gothic"/>
        </w:rPr>
        <w:t xml:space="preserve"> otto</w:t>
      </w:r>
      <w:r w:rsidRPr="00A96C32">
        <w:rPr>
          <w:rFonts w:ascii="Century Gothic" w:hAnsi="Century Gothic"/>
        </w:rPr>
        <w:t xml:space="preserve">bre 2020 </w:t>
      </w:r>
      <w:r w:rsidR="002E6F38">
        <w:rPr>
          <w:rFonts w:ascii="Century Gothic" w:hAnsi="Century Gothic"/>
        </w:rPr>
        <w:t>(ad eccezione d</w:t>
      </w:r>
      <w:r w:rsidR="00CE164E">
        <w:rPr>
          <w:rFonts w:ascii="Century Gothic" w:hAnsi="Century Gothic"/>
        </w:rPr>
        <w:t>ella misura prevista dall’art. 2 lettera c), avente decorrenza 26 ottobre 202,0 e d</w:t>
      </w:r>
      <w:r w:rsidR="002E6F38">
        <w:rPr>
          <w:rFonts w:ascii="Century Gothic" w:hAnsi="Century Gothic"/>
        </w:rPr>
        <w:t xml:space="preserve">all’art. 2 lettera d) di mero </w:t>
      </w:r>
      <w:r w:rsidR="00D91D76">
        <w:rPr>
          <w:rFonts w:ascii="Century Gothic" w:hAnsi="Century Gothic"/>
        </w:rPr>
        <w:t>allineamento formale rispetto a disposizioni dell’OPGR n. 620 del 16 ottobre 2020 e</w:t>
      </w:r>
      <w:r w:rsidR="00BD344F">
        <w:rPr>
          <w:rFonts w:ascii="Century Gothic" w:hAnsi="Century Gothic"/>
        </w:rPr>
        <w:t>,</w:t>
      </w:r>
      <w:r w:rsidR="00D91D76">
        <w:rPr>
          <w:rFonts w:ascii="Century Gothic" w:hAnsi="Century Gothic"/>
        </w:rPr>
        <w:t xml:space="preserve"> come tali</w:t>
      </w:r>
      <w:r w:rsidR="00BD344F">
        <w:rPr>
          <w:rFonts w:ascii="Century Gothic" w:hAnsi="Century Gothic"/>
        </w:rPr>
        <w:t xml:space="preserve">, </w:t>
      </w:r>
      <w:r w:rsidR="00D91D76">
        <w:rPr>
          <w:rFonts w:ascii="Century Gothic" w:hAnsi="Century Gothic"/>
        </w:rPr>
        <w:t xml:space="preserve">efficaci fin dalla </w:t>
      </w:r>
      <w:r w:rsidR="00D91D76">
        <w:rPr>
          <w:rFonts w:ascii="Century Gothic" w:hAnsi="Century Gothic"/>
        </w:rPr>
        <w:lastRenderedPageBreak/>
        <w:t xml:space="preserve">decorrenza originaria) </w:t>
      </w:r>
      <w:r w:rsidRPr="00A96C32">
        <w:rPr>
          <w:rFonts w:ascii="Century Gothic" w:hAnsi="Century Gothic"/>
        </w:rPr>
        <w:t xml:space="preserve">e sono efficaci fino al </w:t>
      </w:r>
      <w:r w:rsidR="00BD344F">
        <w:rPr>
          <w:rFonts w:ascii="Century Gothic" w:hAnsi="Century Gothic"/>
        </w:rPr>
        <w:t>13</w:t>
      </w:r>
      <w:r w:rsidR="00350AFB" w:rsidRPr="00A96C32">
        <w:rPr>
          <w:rFonts w:ascii="Century Gothic" w:hAnsi="Century Gothic"/>
        </w:rPr>
        <w:t xml:space="preserve"> novembre</w:t>
      </w:r>
      <w:r w:rsidRPr="00A96C32">
        <w:rPr>
          <w:rFonts w:ascii="Century Gothic" w:hAnsi="Century Gothic"/>
        </w:rPr>
        <w:t xml:space="preserve"> 2020.</w:t>
      </w:r>
    </w:p>
    <w:p w14:paraId="6479294A" w14:textId="13814773" w:rsidR="00D46ABE" w:rsidRPr="00A96C32" w:rsidRDefault="00D46ABE" w:rsidP="00BD344F">
      <w:pPr>
        <w:pStyle w:val="NormaleWeb"/>
        <w:numPr>
          <w:ilvl w:val="0"/>
          <w:numId w:val="10"/>
        </w:numPr>
        <w:tabs>
          <w:tab w:val="clear" w:pos="720"/>
          <w:tab w:val="left" w:pos="284"/>
        </w:tabs>
        <w:spacing w:before="0" w:beforeAutospacing="0" w:after="0" w:line="360" w:lineRule="auto"/>
        <w:ind w:left="0" w:firstLine="0"/>
        <w:jc w:val="both"/>
      </w:pPr>
      <w:r w:rsidRPr="00A96C32">
        <w:rPr>
          <w:rFonts w:ascii="Century Gothic" w:hAnsi="Century Gothic"/>
        </w:rPr>
        <w:t>Resta salvo, per gli aspetti non diversamente disciplinati dalla presente ordinanza, quanto previsto dall</w:t>
      </w:r>
      <w:r w:rsidR="004C10E0">
        <w:rPr>
          <w:rFonts w:ascii="Century Gothic" w:hAnsi="Century Gothic"/>
        </w:rPr>
        <w:t xml:space="preserve">e Ordinanze n. 619 del 15 ottobre 2020 e n. 620 del 16 ottobre 2020 </w:t>
      </w:r>
      <w:r w:rsidRPr="00A96C32">
        <w:rPr>
          <w:rFonts w:ascii="Century Gothic" w:hAnsi="Century Gothic"/>
        </w:rPr>
        <w:t xml:space="preserve">e </w:t>
      </w:r>
      <w:r w:rsidR="004C10E0">
        <w:rPr>
          <w:rFonts w:ascii="Century Gothic" w:hAnsi="Century Gothic"/>
        </w:rPr>
        <w:t xml:space="preserve">dalle </w:t>
      </w:r>
      <w:r w:rsidRPr="00A96C32">
        <w:rPr>
          <w:rFonts w:ascii="Century Gothic" w:hAnsi="Century Gothic"/>
        </w:rPr>
        <w:t xml:space="preserve">misure di cui ai decreti del Presidente del </w:t>
      </w:r>
      <w:proofErr w:type="gramStart"/>
      <w:r w:rsidRPr="00A96C32">
        <w:rPr>
          <w:rFonts w:ascii="Century Gothic" w:hAnsi="Century Gothic"/>
        </w:rPr>
        <w:t>Consiglio dei Ministri</w:t>
      </w:r>
      <w:proofErr w:type="gramEnd"/>
      <w:r w:rsidRPr="00A96C32">
        <w:rPr>
          <w:rFonts w:ascii="Century Gothic" w:hAnsi="Century Gothic"/>
        </w:rPr>
        <w:t xml:space="preserve"> del </w:t>
      </w:r>
      <w:r w:rsidR="00565458" w:rsidRPr="00A96C32">
        <w:rPr>
          <w:rFonts w:ascii="Century Gothic" w:hAnsi="Century Gothic"/>
        </w:rPr>
        <w:t>13 ottobre</w:t>
      </w:r>
      <w:r w:rsidRPr="00A96C32">
        <w:rPr>
          <w:rFonts w:ascii="Century Gothic" w:hAnsi="Century Gothic"/>
        </w:rPr>
        <w:t xml:space="preserve"> 2020</w:t>
      </w:r>
      <w:r w:rsidR="00B21D72" w:rsidRPr="00A96C32">
        <w:rPr>
          <w:rFonts w:ascii="Century Gothic" w:hAnsi="Century Gothic"/>
        </w:rPr>
        <w:t xml:space="preserve"> </w:t>
      </w:r>
      <w:r w:rsidR="002E6F38">
        <w:rPr>
          <w:rFonts w:ascii="Century Gothic" w:hAnsi="Century Gothic"/>
        </w:rPr>
        <w:t xml:space="preserve">e del 18 ottobre 2020 </w:t>
      </w:r>
      <w:r w:rsidR="00B21D72" w:rsidRPr="00A96C32">
        <w:rPr>
          <w:rFonts w:ascii="Century Gothic" w:hAnsi="Century Gothic"/>
        </w:rPr>
        <w:t>e dalle Ordinanze del Ministro della Salute vigenti e citate in premessa</w:t>
      </w:r>
      <w:r w:rsidRPr="00A96C32">
        <w:rPr>
          <w:rFonts w:ascii="Century Gothic" w:hAnsi="Century Gothic"/>
        </w:rPr>
        <w:t>.</w:t>
      </w:r>
    </w:p>
    <w:p w14:paraId="72D1B2F9" w14:textId="43D72A1F" w:rsidR="00D46ABE" w:rsidRPr="00A96C32" w:rsidRDefault="00D46ABE" w:rsidP="00BD344F">
      <w:pPr>
        <w:pStyle w:val="NormaleWeb"/>
        <w:numPr>
          <w:ilvl w:val="0"/>
          <w:numId w:val="10"/>
        </w:numPr>
        <w:tabs>
          <w:tab w:val="clear" w:pos="720"/>
          <w:tab w:val="left" w:pos="284"/>
        </w:tabs>
        <w:spacing w:before="0" w:beforeAutospacing="0" w:after="0" w:line="360" w:lineRule="auto"/>
        <w:ind w:left="0" w:firstLine="0"/>
        <w:jc w:val="both"/>
      </w:pPr>
      <w:r w:rsidRPr="00A96C32">
        <w:rPr>
          <w:rFonts w:ascii="Century Gothic" w:hAnsi="Century Gothic"/>
        </w:rPr>
        <w:t xml:space="preserve">Il mancato rispetto delle misure di cui alla presente ordinanza è sanzionato, secondo quanto previsto dall’art. </w:t>
      </w:r>
      <w:r w:rsidR="00BD344F">
        <w:rPr>
          <w:rFonts w:ascii="Century Gothic" w:hAnsi="Century Gothic"/>
        </w:rPr>
        <w:t>4</w:t>
      </w:r>
      <w:r w:rsidRPr="00A96C32">
        <w:rPr>
          <w:rFonts w:ascii="Century Gothic" w:hAnsi="Century Gothic"/>
        </w:rPr>
        <w:t xml:space="preserve"> del decreto-legge n.</w:t>
      </w:r>
      <w:r w:rsidR="00BD344F">
        <w:rPr>
          <w:rFonts w:ascii="Century Gothic" w:hAnsi="Century Gothic"/>
        </w:rPr>
        <w:t xml:space="preserve"> 19</w:t>
      </w:r>
      <w:r w:rsidRPr="00A96C32">
        <w:rPr>
          <w:rFonts w:ascii="Century Gothic" w:hAnsi="Century Gothic"/>
        </w:rPr>
        <w:t>/2020.</w:t>
      </w:r>
    </w:p>
    <w:p w14:paraId="71CBF004" w14:textId="77777777" w:rsidR="00D46ABE" w:rsidRPr="00A96C32" w:rsidRDefault="00D46ABE" w:rsidP="00BD344F">
      <w:pPr>
        <w:pStyle w:val="NormaleWeb"/>
        <w:numPr>
          <w:ilvl w:val="0"/>
          <w:numId w:val="10"/>
        </w:numPr>
        <w:tabs>
          <w:tab w:val="clear" w:pos="720"/>
          <w:tab w:val="left" w:pos="284"/>
        </w:tabs>
        <w:spacing w:before="0" w:beforeAutospacing="0" w:after="0" w:line="360" w:lineRule="auto"/>
        <w:ind w:left="0" w:firstLine="0"/>
        <w:jc w:val="both"/>
      </w:pPr>
      <w:r w:rsidRPr="00A96C32">
        <w:rPr>
          <w:rFonts w:ascii="Century Gothic" w:hAnsi="Century Gothic"/>
        </w:rPr>
        <w:t xml:space="preserve">La presente ordinanza è trasmessa al Presidente del </w:t>
      </w:r>
      <w:proofErr w:type="gramStart"/>
      <w:r w:rsidRPr="00A96C32">
        <w:rPr>
          <w:rFonts w:ascii="Century Gothic" w:hAnsi="Century Gothic"/>
        </w:rPr>
        <w:t>Consiglio dei Ministri</w:t>
      </w:r>
      <w:proofErr w:type="gramEnd"/>
      <w:r w:rsidRPr="00A96C32">
        <w:rPr>
          <w:rFonts w:ascii="Century Gothic" w:hAnsi="Century Gothic"/>
        </w:rPr>
        <w:t xml:space="preserve">, al Ministro per gli affari regionali ed al Ministro della salute ed è pubblicata sul Bollettino </w:t>
      </w:r>
      <w:r w:rsidRPr="00A96C32">
        <w:rPr>
          <w:rFonts w:ascii="Century Gothic" w:hAnsi="Century Gothic"/>
        </w:rPr>
        <w:lastRenderedPageBreak/>
        <w:t>Ufficiale della Regione Lombardia (BURL) e nel portale internet della Regione Lombardia, pagine dedicate all’emergenza sanitaria Corona Virus – COVID 19.</w:t>
      </w:r>
    </w:p>
    <w:bookmarkEnd w:id="2"/>
    <w:p w14:paraId="7F7BE261" w14:textId="77777777" w:rsidR="005524CD" w:rsidRPr="00A96C32" w:rsidRDefault="005524CD" w:rsidP="00371195">
      <w:pPr>
        <w:pStyle w:val="NormaleWeb"/>
        <w:spacing w:before="0" w:beforeAutospacing="0" w:after="0" w:line="360" w:lineRule="auto"/>
        <w:jc w:val="both"/>
        <w:rPr>
          <w:rFonts w:ascii="Century Gothic" w:hAnsi="Century Gothic"/>
        </w:rPr>
      </w:pPr>
    </w:p>
    <w:p w14:paraId="37C3C982" w14:textId="08D21BA9" w:rsidR="00D46ABE" w:rsidRPr="00A96C32" w:rsidRDefault="00D46ABE" w:rsidP="00371195">
      <w:pPr>
        <w:pStyle w:val="NormaleWeb"/>
        <w:spacing w:before="0" w:beforeAutospacing="0" w:after="0" w:line="360" w:lineRule="auto"/>
        <w:jc w:val="both"/>
      </w:pPr>
      <w:r w:rsidRPr="00A96C32">
        <w:rPr>
          <w:rFonts w:ascii="Century Gothic" w:hAnsi="Century Gothic"/>
        </w:rPr>
        <w:t>IL PRESIDENTE</w:t>
      </w:r>
    </w:p>
    <w:p w14:paraId="5FB1355D" w14:textId="37452FC8" w:rsidR="00D46ABE" w:rsidRPr="00A96C32" w:rsidRDefault="00D46ABE" w:rsidP="00371195">
      <w:pPr>
        <w:pStyle w:val="NormaleWeb"/>
        <w:spacing w:before="0" w:beforeAutospacing="0" w:after="0" w:line="360" w:lineRule="auto"/>
        <w:jc w:val="both"/>
      </w:pPr>
      <w:r w:rsidRPr="00A96C32">
        <w:rPr>
          <w:rFonts w:ascii="Century Gothic" w:hAnsi="Century Gothic"/>
        </w:rPr>
        <w:t>ATTILIO FONTANA</w:t>
      </w:r>
    </w:p>
    <w:p w14:paraId="2C592A52" w14:textId="77777777" w:rsidR="00D46ABE" w:rsidRPr="00A96C32" w:rsidRDefault="00D46ABE" w:rsidP="00371195">
      <w:pPr>
        <w:pStyle w:val="NormaleWeb"/>
        <w:spacing w:before="0" w:beforeAutospacing="0" w:after="0" w:line="360" w:lineRule="auto"/>
        <w:jc w:val="both"/>
      </w:pPr>
    </w:p>
    <w:sectPr w:rsidR="00D46ABE" w:rsidRPr="00A96C32" w:rsidSect="00A32922">
      <w:footerReference w:type="default" r:id="rId7"/>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28770" w14:textId="77777777" w:rsidR="00393AEB" w:rsidRDefault="00393AEB" w:rsidP="0061627C">
      <w:pPr>
        <w:spacing w:after="0" w:line="240" w:lineRule="auto"/>
      </w:pPr>
      <w:r>
        <w:separator/>
      </w:r>
    </w:p>
  </w:endnote>
  <w:endnote w:type="continuationSeparator" w:id="0">
    <w:p w14:paraId="20B541E9" w14:textId="77777777" w:rsidR="00393AEB" w:rsidRDefault="00393AEB" w:rsidP="0061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Mon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92394"/>
      <w:docPartObj>
        <w:docPartGallery w:val="Page Numbers (Bottom of Page)"/>
        <w:docPartUnique/>
      </w:docPartObj>
    </w:sdtPr>
    <w:sdtEndPr/>
    <w:sdtContent>
      <w:p w14:paraId="6B1CD884" w14:textId="5CCC9E1D" w:rsidR="000B2E00" w:rsidRDefault="000B2E00">
        <w:pPr>
          <w:pStyle w:val="Pidipagina"/>
          <w:jc w:val="center"/>
        </w:pPr>
        <w:r>
          <w:fldChar w:fldCharType="begin"/>
        </w:r>
        <w:r>
          <w:instrText>PAGE   \* MERGEFORMAT</w:instrText>
        </w:r>
        <w:r>
          <w:fldChar w:fldCharType="separate"/>
        </w:r>
        <w:r>
          <w:t>2</w:t>
        </w:r>
        <w:r>
          <w:fldChar w:fldCharType="end"/>
        </w:r>
      </w:p>
    </w:sdtContent>
  </w:sdt>
  <w:p w14:paraId="7B3722D3" w14:textId="77777777" w:rsidR="0061627C" w:rsidRDefault="006162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BD786" w14:textId="77777777" w:rsidR="00393AEB" w:rsidRDefault="00393AEB" w:rsidP="0061627C">
      <w:pPr>
        <w:spacing w:after="0" w:line="240" w:lineRule="auto"/>
      </w:pPr>
      <w:r>
        <w:separator/>
      </w:r>
    </w:p>
  </w:footnote>
  <w:footnote w:type="continuationSeparator" w:id="0">
    <w:p w14:paraId="5F685DF6" w14:textId="77777777" w:rsidR="00393AEB" w:rsidRDefault="00393AEB" w:rsidP="00616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A2A"/>
    <w:multiLevelType w:val="hybridMultilevel"/>
    <w:tmpl w:val="A00EA8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F90E7D"/>
    <w:multiLevelType w:val="multilevel"/>
    <w:tmpl w:val="F1A0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90E68"/>
    <w:multiLevelType w:val="multilevel"/>
    <w:tmpl w:val="BFB4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30DA7"/>
    <w:multiLevelType w:val="multilevel"/>
    <w:tmpl w:val="E6C4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4531E"/>
    <w:multiLevelType w:val="hybridMultilevel"/>
    <w:tmpl w:val="E1729428"/>
    <w:lvl w:ilvl="0" w:tplc="CC4E834E">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2503D3"/>
    <w:multiLevelType w:val="multilevel"/>
    <w:tmpl w:val="E70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72691"/>
    <w:multiLevelType w:val="hybridMultilevel"/>
    <w:tmpl w:val="9246EED0"/>
    <w:lvl w:ilvl="0" w:tplc="04100001">
      <w:start w:val="1"/>
      <w:numFmt w:val="bullet"/>
      <w:lvlText w:val=""/>
      <w:lvlJc w:val="left"/>
      <w:pPr>
        <w:ind w:left="1506" w:hanging="360"/>
      </w:pPr>
      <w:rPr>
        <w:rFonts w:ascii="Symbol" w:hAnsi="Symbol" w:hint="default"/>
      </w:rPr>
    </w:lvl>
    <w:lvl w:ilvl="1" w:tplc="04100003">
      <w:start w:val="1"/>
      <w:numFmt w:val="bullet"/>
      <w:lvlText w:val="o"/>
      <w:lvlJc w:val="left"/>
      <w:pPr>
        <w:ind w:left="2226" w:hanging="360"/>
      </w:pPr>
      <w:rPr>
        <w:rFonts w:ascii="Courier New" w:hAnsi="Courier New" w:cs="Courier New" w:hint="default"/>
      </w:rPr>
    </w:lvl>
    <w:lvl w:ilvl="2" w:tplc="04100005">
      <w:start w:val="1"/>
      <w:numFmt w:val="bullet"/>
      <w:lvlText w:val=""/>
      <w:lvlJc w:val="left"/>
      <w:pPr>
        <w:ind w:left="2946" w:hanging="360"/>
      </w:pPr>
      <w:rPr>
        <w:rFonts w:ascii="Wingdings" w:hAnsi="Wingdings" w:hint="default"/>
      </w:rPr>
    </w:lvl>
    <w:lvl w:ilvl="3" w:tplc="04100001">
      <w:start w:val="1"/>
      <w:numFmt w:val="bullet"/>
      <w:lvlText w:val=""/>
      <w:lvlJc w:val="left"/>
      <w:pPr>
        <w:ind w:left="3666" w:hanging="360"/>
      </w:pPr>
      <w:rPr>
        <w:rFonts w:ascii="Symbol" w:hAnsi="Symbol" w:hint="default"/>
      </w:rPr>
    </w:lvl>
    <w:lvl w:ilvl="4" w:tplc="04100003">
      <w:start w:val="1"/>
      <w:numFmt w:val="bullet"/>
      <w:lvlText w:val="o"/>
      <w:lvlJc w:val="left"/>
      <w:pPr>
        <w:ind w:left="4386" w:hanging="360"/>
      </w:pPr>
      <w:rPr>
        <w:rFonts w:ascii="Courier New" w:hAnsi="Courier New" w:cs="Courier New" w:hint="default"/>
      </w:rPr>
    </w:lvl>
    <w:lvl w:ilvl="5" w:tplc="04100005">
      <w:start w:val="1"/>
      <w:numFmt w:val="bullet"/>
      <w:lvlText w:val=""/>
      <w:lvlJc w:val="left"/>
      <w:pPr>
        <w:ind w:left="5106" w:hanging="360"/>
      </w:pPr>
      <w:rPr>
        <w:rFonts w:ascii="Wingdings" w:hAnsi="Wingdings" w:hint="default"/>
      </w:rPr>
    </w:lvl>
    <w:lvl w:ilvl="6" w:tplc="04100001">
      <w:start w:val="1"/>
      <w:numFmt w:val="bullet"/>
      <w:lvlText w:val=""/>
      <w:lvlJc w:val="left"/>
      <w:pPr>
        <w:ind w:left="5826" w:hanging="360"/>
      </w:pPr>
      <w:rPr>
        <w:rFonts w:ascii="Symbol" w:hAnsi="Symbol" w:hint="default"/>
      </w:rPr>
    </w:lvl>
    <w:lvl w:ilvl="7" w:tplc="04100003">
      <w:start w:val="1"/>
      <w:numFmt w:val="bullet"/>
      <w:lvlText w:val="o"/>
      <w:lvlJc w:val="left"/>
      <w:pPr>
        <w:ind w:left="6546" w:hanging="360"/>
      </w:pPr>
      <w:rPr>
        <w:rFonts w:ascii="Courier New" w:hAnsi="Courier New" w:cs="Courier New" w:hint="default"/>
      </w:rPr>
    </w:lvl>
    <w:lvl w:ilvl="8" w:tplc="04100005">
      <w:start w:val="1"/>
      <w:numFmt w:val="bullet"/>
      <w:lvlText w:val=""/>
      <w:lvlJc w:val="left"/>
      <w:pPr>
        <w:ind w:left="7266" w:hanging="360"/>
      </w:pPr>
      <w:rPr>
        <w:rFonts w:ascii="Wingdings" w:hAnsi="Wingdings" w:hint="default"/>
      </w:rPr>
    </w:lvl>
  </w:abstractNum>
  <w:abstractNum w:abstractNumId="7" w15:restartNumberingAfterBreak="0">
    <w:nsid w:val="2CA918AC"/>
    <w:multiLevelType w:val="hybridMultilevel"/>
    <w:tmpl w:val="C7FCBB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9D266F"/>
    <w:multiLevelType w:val="hybridMultilevel"/>
    <w:tmpl w:val="CD582F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E83732"/>
    <w:multiLevelType w:val="multilevel"/>
    <w:tmpl w:val="7E365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735D23"/>
    <w:multiLevelType w:val="multilevel"/>
    <w:tmpl w:val="8E28326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22E37"/>
    <w:multiLevelType w:val="multilevel"/>
    <w:tmpl w:val="81CCD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2205DA"/>
    <w:multiLevelType w:val="multilevel"/>
    <w:tmpl w:val="4AE6E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1608EB"/>
    <w:multiLevelType w:val="multilevel"/>
    <w:tmpl w:val="FAA8A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entury Gothic" w:eastAsia="Times New Roman" w:hAnsi="Century Gothic"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260D8"/>
    <w:multiLevelType w:val="multilevel"/>
    <w:tmpl w:val="3842CB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CA666E1"/>
    <w:multiLevelType w:val="multilevel"/>
    <w:tmpl w:val="FF40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924228"/>
    <w:multiLevelType w:val="hybridMultilevel"/>
    <w:tmpl w:val="49D4C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BF0EBA"/>
    <w:multiLevelType w:val="hybridMultilevel"/>
    <w:tmpl w:val="72BAA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E05032"/>
    <w:multiLevelType w:val="hybridMultilevel"/>
    <w:tmpl w:val="44CC9C1C"/>
    <w:lvl w:ilvl="0" w:tplc="6B46E272">
      <w:start w:val="1"/>
      <w:numFmt w:val="decimal"/>
      <w:lvlText w:val="%1."/>
      <w:lvlJc w:val="left"/>
      <w:pPr>
        <w:ind w:left="720" w:hanging="360"/>
      </w:pPr>
      <w:rPr>
        <w:rFonts w:ascii="Century Gothic" w:eastAsiaTheme="minorHAnsi" w:hAnsi="Century Gothic"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num>
  <w:num w:numId="3">
    <w:abstractNumId w:val="13"/>
  </w:num>
  <w:num w:numId="4">
    <w:abstractNumId w:val="3"/>
  </w:num>
  <w:num w:numId="5">
    <w:abstractNumId w:val="11"/>
  </w:num>
  <w:num w:numId="6">
    <w:abstractNumId w:val="12"/>
  </w:num>
  <w:num w:numId="7">
    <w:abstractNumId w:val="14"/>
  </w:num>
  <w:num w:numId="8">
    <w:abstractNumId w:val="15"/>
  </w:num>
  <w:num w:numId="9">
    <w:abstractNumId w:val="5"/>
  </w:num>
  <w:num w:numId="10">
    <w:abstractNumId w:val="9"/>
  </w:num>
  <w:num w:numId="11">
    <w:abstractNumId w:val="10"/>
  </w:num>
  <w:num w:numId="12">
    <w:abstractNumId w:val="6"/>
  </w:num>
  <w:num w:numId="13">
    <w:abstractNumId w:val="18"/>
  </w:num>
  <w:num w:numId="14">
    <w:abstractNumId w:val="4"/>
  </w:num>
  <w:num w:numId="15">
    <w:abstractNumId w:val="17"/>
  </w:num>
  <w:num w:numId="16">
    <w:abstractNumId w:val="0"/>
  </w:num>
  <w:num w:numId="17">
    <w:abstractNumId w:val="16"/>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BE"/>
    <w:rsid w:val="0001100B"/>
    <w:rsid w:val="00030FCA"/>
    <w:rsid w:val="00035D77"/>
    <w:rsid w:val="00051727"/>
    <w:rsid w:val="00054392"/>
    <w:rsid w:val="000678E9"/>
    <w:rsid w:val="000A69DE"/>
    <w:rsid w:val="000B2E00"/>
    <w:rsid w:val="000B770C"/>
    <w:rsid w:val="000C079F"/>
    <w:rsid w:val="000E4A4D"/>
    <w:rsid w:val="00142577"/>
    <w:rsid w:val="00177140"/>
    <w:rsid w:val="001C1C63"/>
    <w:rsid w:val="001D21EA"/>
    <w:rsid w:val="001D6289"/>
    <w:rsid w:val="001E1D64"/>
    <w:rsid w:val="001E3D14"/>
    <w:rsid w:val="001E4EA2"/>
    <w:rsid w:val="002000FF"/>
    <w:rsid w:val="00215AFA"/>
    <w:rsid w:val="00253E53"/>
    <w:rsid w:val="00264F37"/>
    <w:rsid w:val="002C1972"/>
    <w:rsid w:val="002D26BD"/>
    <w:rsid w:val="002E4278"/>
    <w:rsid w:val="002E6F38"/>
    <w:rsid w:val="003434E7"/>
    <w:rsid w:val="00350AFB"/>
    <w:rsid w:val="00357410"/>
    <w:rsid w:val="003612FB"/>
    <w:rsid w:val="00371195"/>
    <w:rsid w:val="00391D5A"/>
    <w:rsid w:val="00392B0B"/>
    <w:rsid w:val="00393AEB"/>
    <w:rsid w:val="003B0AC8"/>
    <w:rsid w:val="003C387D"/>
    <w:rsid w:val="003D1964"/>
    <w:rsid w:val="003E26BB"/>
    <w:rsid w:val="003E289E"/>
    <w:rsid w:val="004074A1"/>
    <w:rsid w:val="00407D59"/>
    <w:rsid w:val="0042518C"/>
    <w:rsid w:val="00431541"/>
    <w:rsid w:val="00471BA2"/>
    <w:rsid w:val="004725A2"/>
    <w:rsid w:val="00486C99"/>
    <w:rsid w:val="004C10E0"/>
    <w:rsid w:val="005010B9"/>
    <w:rsid w:val="00504490"/>
    <w:rsid w:val="00505FE0"/>
    <w:rsid w:val="0051519B"/>
    <w:rsid w:val="00516408"/>
    <w:rsid w:val="0051681D"/>
    <w:rsid w:val="00520602"/>
    <w:rsid w:val="0054381F"/>
    <w:rsid w:val="005524CD"/>
    <w:rsid w:val="00565458"/>
    <w:rsid w:val="00580AFA"/>
    <w:rsid w:val="00591E01"/>
    <w:rsid w:val="005E17D2"/>
    <w:rsid w:val="0061627C"/>
    <w:rsid w:val="0061761B"/>
    <w:rsid w:val="006E0924"/>
    <w:rsid w:val="006F062D"/>
    <w:rsid w:val="00745E30"/>
    <w:rsid w:val="007923A7"/>
    <w:rsid w:val="007D6A29"/>
    <w:rsid w:val="007E312D"/>
    <w:rsid w:val="007F1757"/>
    <w:rsid w:val="007F1961"/>
    <w:rsid w:val="008432CE"/>
    <w:rsid w:val="00847374"/>
    <w:rsid w:val="00850708"/>
    <w:rsid w:val="00861B91"/>
    <w:rsid w:val="00886937"/>
    <w:rsid w:val="00896DBB"/>
    <w:rsid w:val="00897171"/>
    <w:rsid w:val="008B52B5"/>
    <w:rsid w:val="008C4C5B"/>
    <w:rsid w:val="008D1EB3"/>
    <w:rsid w:val="008F75B6"/>
    <w:rsid w:val="00911327"/>
    <w:rsid w:val="009230D0"/>
    <w:rsid w:val="009315AD"/>
    <w:rsid w:val="00941A6D"/>
    <w:rsid w:val="00953AF0"/>
    <w:rsid w:val="0095598E"/>
    <w:rsid w:val="00985648"/>
    <w:rsid w:val="009A07A9"/>
    <w:rsid w:val="009D04A2"/>
    <w:rsid w:val="009F066A"/>
    <w:rsid w:val="009F1C2B"/>
    <w:rsid w:val="00A32922"/>
    <w:rsid w:val="00A45633"/>
    <w:rsid w:val="00A457B2"/>
    <w:rsid w:val="00A51C14"/>
    <w:rsid w:val="00A66E20"/>
    <w:rsid w:val="00A676F5"/>
    <w:rsid w:val="00A817CE"/>
    <w:rsid w:val="00A86AFB"/>
    <w:rsid w:val="00A87715"/>
    <w:rsid w:val="00A90E4A"/>
    <w:rsid w:val="00A96C32"/>
    <w:rsid w:val="00AB38FF"/>
    <w:rsid w:val="00AC2889"/>
    <w:rsid w:val="00AE4851"/>
    <w:rsid w:val="00AE6DAA"/>
    <w:rsid w:val="00B06E96"/>
    <w:rsid w:val="00B21D72"/>
    <w:rsid w:val="00B45CE6"/>
    <w:rsid w:val="00B7440A"/>
    <w:rsid w:val="00BA262B"/>
    <w:rsid w:val="00BA2E72"/>
    <w:rsid w:val="00BD344F"/>
    <w:rsid w:val="00BE0B6F"/>
    <w:rsid w:val="00BF4627"/>
    <w:rsid w:val="00C177AD"/>
    <w:rsid w:val="00C222D2"/>
    <w:rsid w:val="00C33C65"/>
    <w:rsid w:val="00C719A7"/>
    <w:rsid w:val="00CA4B11"/>
    <w:rsid w:val="00CD3797"/>
    <w:rsid w:val="00CD3FB5"/>
    <w:rsid w:val="00CE164E"/>
    <w:rsid w:val="00CE7418"/>
    <w:rsid w:val="00CF02F3"/>
    <w:rsid w:val="00D46ABE"/>
    <w:rsid w:val="00D571BE"/>
    <w:rsid w:val="00D90AFF"/>
    <w:rsid w:val="00D91D76"/>
    <w:rsid w:val="00D9606D"/>
    <w:rsid w:val="00DD5B9A"/>
    <w:rsid w:val="00E1173F"/>
    <w:rsid w:val="00E43B4A"/>
    <w:rsid w:val="00E636A4"/>
    <w:rsid w:val="00E85E68"/>
    <w:rsid w:val="00EB403D"/>
    <w:rsid w:val="00EF61F6"/>
    <w:rsid w:val="00EF75D1"/>
    <w:rsid w:val="00F155D2"/>
    <w:rsid w:val="00F42A8E"/>
    <w:rsid w:val="00F45441"/>
    <w:rsid w:val="00F46C5E"/>
    <w:rsid w:val="00F97E0F"/>
    <w:rsid w:val="00FC1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03869"/>
  <w15:chartTrackingRefBased/>
  <w15:docId w15:val="{963F7CB3-18E4-4692-B77D-C1B48431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46AB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basedOn w:val="Normale"/>
    <w:rsid w:val="00F42A8E"/>
    <w:pPr>
      <w:autoSpaceDE w:val="0"/>
      <w:autoSpaceDN w:val="0"/>
      <w:spacing w:after="0" w:line="240" w:lineRule="auto"/>
    </w:pPr>
    <w:rPr>
      <w:rFonts w:ascii="Century Gothic" w:hAnsi="Century Gothic" w:cs="Calibri"/>
      <w:color w:val="000000"/>
      <w:sz w:val="24"/>
      <w:szCs w:val="24"/>
    </w:rPr>
  </w:style>
  <w:style w:type="paragraph" w:styleId="Paragrafoelenco">
    <w:name w:val="List Paragraph"/>
    <w:basedOn w:val="Normale"/>
    <w:uiPriority w:val="34"/>
    <w:qFormat/>
    <w:rsid w:val="00371195"/>
    <w:pPr>
      <w:ind w:left="720"/>
      <w:contextualSpacing/>
    </w:pPr>
  </w:style>
  <w:style w:type="paragraph" w:styleId="Intestazione">
    <w:name w:val="header"/>
    <w:basedOn w:val="Normale"/>
    <w:link w:val="IntestazioneCarattere"/>
    <w:uiPriority w:val="99"/>
    <w:unhideWhenUsed/>
    <w:rsid w:val="006162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627C"/>
  </w:style>
  <w:style w:type="paragraph" w:styleId="Pidipagina">
    <w:name w:val="footer"/>
    <w:basedOn w:val="Normale"/>
    <w:link w:val="PidipaginaCarattere"/>
    <w:uiPriority w:val="99"/>
    <w:unhideWhenUsed/>
    <w:rsid w:val="006162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627C"/>
  </w:style>
  <w:style w:type="paragraph" w:styleId="PreformattatoHTML">
    <w:name w:val="HTML Preformatted"/>
    <w:basedOn w:val="Normale"/>
    <w:link w:val="PreformattatoHTMLCarattere"/>
    <w:uiPriority w:val="99"/>
    <w:unhideWhenUsed/>
    <w:rsid w:val="00142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Roboto Mono" w:eastAsia="Times New Roman" w:hAnsi="Roboto Mono" w:cs="Courier New"/>
      <w:color w:val="19191A"/>
      <w:sz w:val="21"/>
      <w:szCs w:val="21"/>
      <w:lang w:eastAsia="it-IT"/>
    </w:rPr>
  </w:style>
  <w:style w:type="character" w:customStyle="1" w:styleId="PreformattatoHTMLCarattere">
    <w:name w:val="Preformattato HTML Carattere"/>
    <w:basedOn w:val="Carpredefinitoparagrafo"/>
    <w:link w:val="PreformattatoHTML"/>
    <w:uiPriority w:val="99"/>
    <w:rsid w:val="00142577"/>
    <w:rPr>
      <w:rFonts w:ascii="Roboto Mono" w:eastAsia="Times New Roman" w:hAnsi="Roboto Mono" w:cs="Courier New"/>
      <w:color w:val="19191A"/>
      <w:sz w:val="21"/>
      <w:szCs w:val="21"/>
      <w:lang w:eastAsia="it-IT"/>
    </w:rPr>
  </w:style>
  <w:style w:type="paragraph" w:styleId="Testofumetto">
    <w:name w:val="Balloon Text"/>
    <w:basedOn w:val="Normale"/>
    <w:link w:val="TestofumettoCarattere"/>
    <w:uiPriority w:val="99"/>
    <w:semiHidden/>
    <w:unhideWhenUsed/>
    <w:rsid w:val="009113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1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30689">
      <w:bodyDiv w:val="1"/>
      <w:marLeft w:val="0"/>
      <w:marRight w:val="0"/>
      <w:marTop w:val="0"/>
      <w:marBottom w:val="0"/>
      <w:divBdr>
        <w:top w:val="none" w:sz="0" w:space="0" w:color="auto"/>
        <w:left w:val="none" w:sz="0" w:space="0" w:color="auto"/>
        <w:bottom w:val="none" w:sz="0" w:space="0" w:color="auto"/>
        <w:right w:val="none" w:sz="0" w:space="0" w:color="auto"/>
      </w:divBdr>
      <w:divsChild>
        <w:div w:id="636103410">
          <w:marLeft w:val="0"/>
          <w:marRight w:val="0"/>
          <w:marTop w:val="0"/>
          <w:marBottom w:val="0"/>
          <w:divBdr>
            <w:top w:val="none" w:sz="0" w:space="0" w:color="auto"/>
            <w:left w:val="none" w:sz="0" w:space="0" w:color="auto"/>
            <w:bottom w:val="none" w:sz="0" w:space="0" w:color="auto"/>
            <w:right w:val="none" w:sz="0" w:space="0" w:color="auto"/>
          </w:divBdr>
          <w:divsChild>
            <w:div w:id="818115403">
              <w:marLeft w:val="-90"/>
              <w:marRight w:val="-90"/>
              <w:marTop w:val="0"/>
              <w:marBottom w:val="0"/>
              <w:divBdr>
                <w:top w:val="none" w:sz="0" w:space="0" w:color="auto"/>
                <w:left w:val="none" w:sz="0" w:space="0" w:color="auto"/>
                <w:bottom w:val="none" w:sz="0" w:space="0" w:color="auto"/>
                <w:right w:val="none" w:sz="0" w:space="0" w:color="auto"/>
              </w:divBdr>
              <w:divsChild>
                <w:div w:id="521632988">
                  <w:marLeft w:val="0"/>
                  <w:marRight w:val="0"/>
                  <w:marTop w:val="0"/>
                  <w:marBottom w:val="0"/>
                  <w:divBdr>
                    <w:top w:val="none" w:sz="0" w:space="0" w:color="auto"/>
                    <w:left w:val="none" w:sz="0" w:space="0" w:color="auto"/>
                    <w:bottom w:val="none" w:sz="0" w:space="0" w:color="auto"/>
                    <w:right w:val="none" w:sz="0" w:space="0" w:color="auto"/>
                  </w:divBdr>
                  <w:divsChild>
                    <w:div w:id="1441753256">
                      <w:marLeft w:val="0"/>
                      <w:marRight w:val="0"/>
                      <w:marTop w:val="0"/>
                      <w:marBottom w:val="0"/>
                      <w:divBdr>
                        <w:top w:val="none" w:sz="0" w:space="0" w:color="auto"/>
                        <w:left w:val="none" w:sz="0" w:space="0" w:color="auto"/>
                        <w:bottom w:val="none" w:sz="0" w:space="0" w:color="auto"/>
                        <w:right w:val="none" w:sz="0" w:space="0" w:color="auto"/>
                      </w:divBdr>
                      <w:divsChild>
                        <w:div w:id="1912499293">
                          <w:marLeft w:val="0"/>
                          <w:marRight w:val="0"/>
                          <w:marTop w:val="0"/>
                          <w:marBottom w:val="0"/>
                          <w:divBdr>
                            <w:top w:val="none" w:sz="0" w:space="0" w:color="auto"/>
                            <w:left w:val="none" w:sz="0" w:space="0" w:color="auto"/>
                            <w:bottom w:val="none" w:sz="0" w:space="0" w:color="auto"/>
                            <w:right w:val="none" w:sz="0" w:space="0" w:color="auto"/>
                          </w:divBdr>
                          <w:divsChild>
                            <w:div w:id="1666975991">
                              <w:marLeft w:val="0"/>
                              <w:marRight w:val="0"/>
                              <w:marTop w:val="0"/>
                              <w:marBottom w:val="0"/>
                              <w:divBdr>
                                <w:top w:val="none" w:sz="0" w:space="0" w:color="auto"/>
                                <w:left w:val="none" w:sz="0" w:space="0" w:color="auto"/>
                                <w:bottom w:val="none" w:sz="0" w:space="0" w:color="auto"/>
                                <w:right w:val="none" w:sz="0" w:space="0" w:color="auto"/>
                              </w:divBdr>
                              <w:divsChild>
                                <w:div w:id="1749231221">
                                  <w:marLeft w:val="0"/>
                                  <w:marRight w:val="0"/>
                                  <w:marTop w:val="0"/>
                                  <w:marBottom w:val="0"/>
                                  <w:divBdr>
                                    <w:top w:val="none" w:sz="0" w:space="0" w:color="auto"/>
                                    <w:left w:val="none" w:sz="0" w:space="0" w:color="auto"/>
                                    <w:bottom w:val="none" w:sz="0" w:space="0" w:color="auto"/>
                                    <w:right w:val="none" w:sz="0" w:space="0" w:color="auto"/>
                                  </w:divBdr>
                                  <w:divsChild>
                                    <w:div w:id="352149900">
                                      <w:marLeft w:val="-90"/>
                                      <w:marRight w:val="-90"/>
                                      <w:marTop w:val="0"/>
                                      <w:marBottom w:val="0"/>
                                      <w:divBdr>
                                        <w:top w:val="none" w:sz="0" w:space="0" w:color="auto"/>
                                        <w:left w:val="none" w:sz="0" w:space="0" w:color="auto"/>
                                        <w:bottom w:val="none" w:sz="0" w:space="0" w:color="auto"/>
                                        <w:right w:val="none" w:sz="0" w:space="0" w:color="auto"/>
                                      </w:divBdr>
                                      <w:divsChild>
                                        <w:div w:id="1154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649903">
      <w:bodyDiv w:val="1"/>
      <w:marLeft w:val="0"/>
      <w:marRight w:val="0"/>
      <w:marTop w:val="0"/>
      <w:marBottom w:val="0"/>
      <w:divBdr>
        <w:top w:val="none" w:sz="0" w:space="0" w:color="auto"/>
        <w:left w:val="none" w:sz="0" w:space="0" w:color="auto"/>
        <w:bottom w:val="none" w:sz="0" w:space="0" w:color="auto"/>
        <w:right w:val="none" w:sz="0" w:space="0" w:color="auto"/>
      </w:divBdr>
    </w:div>
    <w:div w:id="505898788">
      <w:bodyDiv w:val="1"/>
      <w:marLeft w:val="0"/>
      <w:marRight w:val="0"/>
      <w:marTop w:val="0"/>
      <w:marBottom w:val="0"/>
      <w:divBdr>
        <w:top w:val="none" w:sz="0" w:space="0" w:color="auto"/>
        <w:left w:val="none" w:sz="0" w:space="0" w:color="auto"/>
        <w:bottom w:val="none" w:sz="0" w:space="0" w:color="auto"/>
        <w:right w:val="none" w:sz="0" w:space="0" w:color="auto"/>
      </w:divBdr>
    </w:div>
    <w:div w:id="546797091">
      <w:bodyDiv w:val="1"/>
      <w:marLeft w:val="0"/>
      <w:marRight w:val="0"/>
      <w:marTop w:val="0"/>
      <w:marBottom w:val="0"/>
      <w:divBdr>
        <w:top w:val="none" w:sz="0" w:space="0" w:color="auto"/>
        <w:left w:val="none" w:sz="0" w:space="0" w:color="auto"/>
        <w:bottom w:val="none" w:sz="0" w:space="0" w:color="auto"/>
        <w:right w:val="none" w:sz="0" w:space="0" w:color="auto"/>
      </w:divBdr>
    </w:div>
    <w:div w:id="751661712">
      <w:bodyDiv w:val="1"/>
      <w:marLeft w:val="0"/>
      <w:marRight w:val="0"/>
      <w:marTop w:val="0"/>
      <w:marBottom w:val="0"/>
      <w:divBdr>
        <w:top w:val="none" w:sz="0" w:space="0" w:color="auto"/>
        <w:left w:val="none" w:sz="0" w:space="0" w:color="auto"/>
        <w:bottom w:val="none" w:sz="0" w:space="0" w:color="auto"/>
        <w:right w:val="none" w:sz="0" w:space="0" w:color="auto"/>
      </w:divBdr>
    </w:div>
    <w:div w:id="909387850">
      <w:bodyDiv w:val="1"/>
      <w:marLeft w:val="0"/>
      <w:marRight w:val="0"/>
      <w:marTop w:val="0"/>
      <w:marBottom w:val="0"/>
      <w:divBdr>
        <w:top w:val="none" w:sz="0" w:space="0" w:color="auto"/>
        <w:left w:val="none" w:sz="0" w:space="0" w:color="auto"/>
        <w:bottom w:val="none" w:sz="0" w:space="0" w:color="auto"/>
        <w:right w:val="none" w:sz="0" w:space="0" w:color="auto"/>
      </w:divBdr>
      <w:divsChild>
        <w:div w:id="970133847">
          <w:marLeft w:val="0"/>
          <w:marRight w:val="0"/>
          <w:marTop w:val="0"/>
          <w:marBottom w:val="0"/>
          <w:divBdr>
            <w:top w:val="none" w:sz="0" w:space="0" w:color="auto"/>
            <w:left w:val="none" w:sz="0" w:space="0" w:color="auto"/>
            <w:bottom w:val="none" w:sz="0" w:space="0" w:color="auto"/>
            <w:right w:val="none" w:sz="0" w:space="0" w:color="auto"/>
          </w:divBdr>
          <w:divsChild>
            <w:div w:id="1172720476">
              <w:marLeft w:val="-90"/>
              <w:marRight w:val="-90"/>
              <w:marTop w:val="0"/>
              <w:marBottom w:val="0"/>
              <w:divBdr>
                <w:top w:val="none" w:sz="0" w:space="0" w:color="auto"/>
                <w:left w:val="none" w:sz="0" w:space="0" w:color="auto"/>
                <w:bottom w:val="none" w:sz="0" w:space="0" w:color="auto"/>
                <w:right w:val="none" w:sz="0" w:space="0" w:color="auto"/>
              </w:divBdr>
              <w:divsChild>
                <w:div w:id="803623533">
                  <w:marLeft w:val="0"/>
                  <w:marRight w:val="0"/>
                  <w:marTop w:val="0"/>
                  <w:marBottom w:val="0"/>
                  <w:divBdr>
                    <w:top w:val="none" w:sz="0" w:space="0" w:color="auto"/>
                    <w:left w:val="none" w:sz="0" w:space="0" w:color="auto"/>
                    <w:bottom w:val="none" w:sz="0" w:space="0" w:color="auto"/>
                    <w:right w:val="none" w:sz="0" w:space="0" w:color="auto"/>
                  </w:divBdr>
                  <w:divsChild>
                    <w:div w:id="1162240228">
                      <w:marLeft w:val="0"/>
                      <w:marRight w:val="0"/>
                      <w:marTop w:val="0"/>
                      <w:marBottom w:val="0"/>
                      <w:divBdr>
                        <w:top w:val="none" w:sz="0" w:space="0" w:color="auto"/>
                        <w:left w:val="none" w:sz="0" w:space="0" w:color="auto"/>
                        <w:bottom w:val="none" w:sz="0" w:space="0" w:color="auto"/>
                        <w:right w:val="none" w:sz="0" w:space="0" w:color="auto"/>
                      </w:divBdr>
                      <w:divsChild>
                        <w:div w:id="1466503554">
                          <w:marLeft w:val="0"/>
                          <w:marRight w:val="0"/>
                          <w:marTop w:val="0"/>
                          <w:marBottom w:val="0"/>
                          <w:divBdr>
                            <w:top w:val="none" w:sz="0" w:space="0" w:color="auto"/>
                            <w:left w:val="none" w:sz="0" w:space="0" w:color="auto"/>
                            <w:bottom w:val="none" w:sz="0" w:space="0" w:color="auto"/>
                            <w:right w:val="none" w:sz="0" w:space="0" w:color="auto"/>
                          </w:divBdr>
                          <w:divsChild>
                            <w:div w:id="1708486042">
                              <w:marLeft w:val="0"/>
                              <w:marRight w:val="0"/>
                              <w:marTop w:val="0"/>
                              <w:marBottom w:val="0"/>
                              <w:divBdr>
                                <w:top w:val="none" w:sz="0" w:space="0" w:color="auto"/>
                                <w:left w:val="none" w:sz="0" w:space="0" w:color="auto"/>
                                <w:bottom w:val="none" w:sz="0" w:space="0" w:color="auto"/>
                                <w:right w:val="none" w:sz="0" w:space="0" w:color="auto"/>
                              </w:divBdr>
                              <w:divsChild>
                                <w:div w:id="1729066488">
                                  <w:marLeft w:val="0"/>
                                  <w:marRight w:val="0"/>
                                  <w:marTop w:val="0"/>
                                  <w:marBottom w:val="0"/>
                                  <w:divBdr>
                                    <w:top w:val="none" w:sz="0" w:space="0" w:color="auto"/>
                                    <w:left w:val="none" w:sz="0" w:space="0" w:color="auto"/>
                                    <w:bottom w:val="none" w:sz="0" w:space="0" w:color="auto"/>
                                    <w:right w:val="none" w:sz="0" w:space="0" w:color="auto"/>
                                  </w:divBdr>
                                  <w:divsChild>
                                    <w:div w:id="329984089">
                                      <w:marLeft w:val="-90"/>
                                      <w:marRight w:val="-90"/>
                                      <w:marTop w:val="0"/>
                                      <w:marBottom w:val="0"/>
                                      <w:divBdr>
                                        <w:top w:val="none" w:sz="0" w:space="0" w:color="auto"/>
                                        <w:left w:val="none" w:sz="0" w:space="0" w:color="auto"/>
                                        <w:bottom w:val="none" w:sz="0" w:space="0" w:color="auto"/>
                                        <w:right w:val="none" w:sz="0" w:space="0" w:color="auto"/>
                                      </w:divBdr>
                                      <w:divsChild>
                                        <w:div w:id="19921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541083">
      <w:bodyDiv w:val="1"/>
      <w:marLeft w:val="0"/>
      <w:marRight w:val="0"/>
      <w:marTop w:val="0"/>
      <w:marBottom w:val="0"/>
      <w:divBdr>
        <w:top w:val="none" w:sz="0" w:space="0" w:color="auto"/>
        <w:left w:val="none" w:sz="0" w:space="0" w:color="auto"/>
        <w:bottom w:val="none" w:sz="0" w:space="0" w:color="auto"/>
        <w:right w:val="none" w:sz="0" w:space="0" w:color="auto"/>
      </w:divBdr>
      <w:divsChild>
        <w:div w:id="1338923376">
          <w:marLeft w:val="0"/>
          <w:marRight w:val="0"/>
          <w:marTop w:val="0"/>
          <w:marBottom w:val="0"/>
          <w:divBdr>
            <w:top w:val="none" w:sz="0" w:space="0" w:color="auto"/>
            <w:left w:val="none" w:sz="0" w:space="0" w:color="auto"/>
            <w:bottom w:val="none" w:sz="0" w:space="0" w:color="auto"/>
            <w:right w:val="none" w:sz="0" w:space="0" w:color="auto"/>
          </w:divBdr>
          <w:divsChild>
            <w:div w:id="1291128795">
              <w:marLeft w:val="0"/>
              <w:marRight w:val="0"/>
              <w:marTop w:val="0"/>
              <w:marBottom w:val="0"/>
              <w:divBdr>
                <w:top w:val="none" w:sz="0" w:space="0" w:color="auto"/>
                <w:left w:val="none" w:sz="0" w:space="0" w:color="auto"/>
                <w:bottom w:val="none" w:sz="0" w:space="0" w:color="auto"/>
                <w:right w:val="none" w:sz="0" w:space="0" w:color="auto"/>
              </w:divBdr>
              <w:divsChild>
                <w:div w:id="1272204098">
                  <w:marLeft w:val="0"/>
                  <w:marRight w:val="0"/>
                  <w:marTop w:val="0"/>
                  <w:marBottom w:val="0"/>
                  <w:divBdr>
                    <w:top w:val="none" w:sz="0" w:space="0" w:color="auto"/>
                    <w:left w:val="none" w:sz="0" w:space="0" w:color="auto"/>
                    <w:bottom w:val="none" w:sz="0" w:space="0" w:color="auto"/>
                    <w:right w:val="none" w:sz="0" w:space="0" w:color="auto"/>
                  </w:divBdr>
                  <w:divsChild>
                    <w:div w:id="1796754563">
                      <w:marLeft w:val="0"/>
                      <w:marRight w:val="0"/>
                      <w:marTop w:val="0"/>
                      <w:marBottom w:val="0"/>
                      <w:divBdr>
                        <w:top w:val="none" w:sz="0" w:space="0" w:color="auto"/>
                        <w:left w:val="none" w:sz="0" w:space="0" w:color="auto"/>
                        <w:bottom w:val="none" w:sz="0" w:space="0" w:color="auto"/>
                        <w:right w:val="none" w:sz="0" w:space="0" w:color="auto"/>
                      </w:divBdr>
                      <w:divsChild>
                        <w:div w:id="1576551018">
                          <w:marLeft w:val="-75"/>
                          <w:marRight w:val="-75"/>
                          <w:marTop w:val="0"/>
                          <w:marBottom w:val="0"/>
                          <w:divBdr>
                            <w:top w:val="none" w:sz="0" w:space="0" w:color="auto"/>
                            <w:left w:val="none" w:sz="0" w:space="0" w:color="auto"/>
                            <w:bottom w:val="none" w:sz="0" w:space="0" w:color="auto"/>
                            <w:right w:val="none" w:sz="0" w:space="0" w:color="auto"/>
                          </w:divBdr>
                          <w:divsChild>
                            <w:div w:id="1471627107">
                              <w:marLeft w:val="0"/>
                              <w:marRight w:val="0"/>
                              <w:marTop w:val="0"/>
                              <w:marBottom w:val="0"/>
                              <w:divBdr>
                                <w:top w:val="none" w:sz="0" w:space="0" w:color="auto"/>
                                <w:left w:val="none" w:sz="0" w:space="0" w:color="auto"/>
                                <w:bottom w:val="none" w:sz="0" w:space="0" w:color="auto"/>
                                <w:right w:val="none" w:sz="0" w:space="0" w:color="auto"/>
                              </w:divBdr>
                              <w:divsChild>
                                <w:div w:id="2106723992">
                                  <w:marLeft w:val="0"/>
                                  <w:marRight w:val="0"/>
                                  <w:marTop w:val="0"/>
                                  <w:marBottom w:val="0"/>
                                  <w:divBdr>
                                    <w:top w:val="none" w:sz="0" w:space="0" w:color="auto"/>
                                    <w:left w:val="none" w:sz="0" w:space="0" w:color="auto"/>
                                    <w:bottom w:val="none" w:sz="0" w:space="0" w:color="auto"/>
                                    <w:right w:val="none" w:sz="0" w:space="0" w:color="auto"/>
                                  </w:divBdr>
                                  <w:divsChild>
                                    <w:div w:id="143474212">
                                      <w:marLeft w:val="-75"/>
                                      <w:marRight w:val="-75"/>
                                      <w:marTop w:val="0"/>
                                      <w:marBottom w:val="0"/>
                                      <w:divBdr>
                                        <w:top w:val="none" w:sz="0" w:space="0" w:color="auto"/>
                                        <w:left w:val="none" w:sz="0" w:space="0" w:color="auto"/>
                                        <w:bottom w:val="none" w:sz="0" w:space="0" w:color="auto"/>
                                        <w:right w:val="none" w:sz="0" w:space="0" w:color="auto"/>
                                      </w:divBdr>
                                      <w:divsChild>
                                        <w:div w:id="2115972640">
                                          <w:marLeft w:val="0"/>
                                          <w:marRight w:val="0"/>
                                          <w:marTop w:val="0"/>
                                          <w:marBottom w:val="0"/>
                                          <w:divBdr>
                                            <w:top w:val="none" w:sz="0" w:space="0" w:color="auto"/>
                                            <w:left w:val="none" w:sz="0" w:space="0" w:color="auto"/>
                                            <w:bottom w:val="none" w:sz="0" w:space="0" w:color="auto"/>
                                            <w:right w:val="none" w:sz="0" w:space="0" w:color="auto"/>
                                          </w:divBdr>
                                          <w:divsChild>
                                            <w:div w:id="14980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348614">
      <w:bodyDiv w:val="1"/>
      <w:marLeft w:val="0"/>
      <w:marRight w:val="0"/>
      <w:marTop w:val="0"/>
      <w:marBottom w:val="0"/>
      <w:divBdr>
        <w:top w:val="none" w:sz="0" w:space="0" w:color="auto"/>
        <w:left w:val="none" w:sz="0" w:space="0" w:color="auto"/>
        <w:bottom w:val="none" w:sz="0" w:space="0" w:color="auto"/>
        <w:right w:val="none" w:sz="0" w:space="0" w:color="auto"/>
      </w:divBdr>
    </w:div>
    <w:div w:id="1031033213">
      <w:bodyDiv w:val="1"/>
      <w:marLeft w:val="0"/>
      <w:marRight w:val="0"/>
      <w:marTop w:val="0"/>
      <w:marBottom w:val="0"/>
      <w:divBdr>
        <w:top w:val="none" w:sz="0" w:space="0" w:color="auto"/>
        <w:left w:val="none" w:sz="0" w:space="0" w:color="auto"/>
        <w:bottom w:val="none" w:sz="0" w:space="0" w:color="auto"/>
        <w:right w:val="none" w:sz="0" w:space="0" w:color="auto"/>
      </w:divBdr>
      <w:divsChild>
        <w:div w:id="941255676">
          <w:marLeft w:val="0"/>
          <w:marRight w:val="0"/>
          <w:marTop w:val="0"/>
          <w:marBottom w:val="0"/>
          <w:divBdr>
            <w:top w:val="none" w:sz="0" w:space="0" w:color="auto"/>
            <w:left w:val="none" w:sz="0" w:space="0" w:color="auto"/>
            <w:bottom w:val="none" w:sz="0" w:space="0" w:color="auto"/>
            <w:right w:val="none" w:sz="0" w:space="0" w:color="auto"/>
          </w:divBdr>
          <w:divsChild>
            <w:div w:id="269168184">
              <w:marLeft w:val="-90"/>
              <w:marRight w:val="-90"/>
              <w:marTop w:val="0"/>
              <w:marBottom w:val="0"/>
              <w:divBdr>
                <w:top w:val="none" w:sz="0" w:space="0" w:color="auto"/>
                <w:left w:val="none" w:sz="0" w:space="0" w:color="auto"/>
                <w:bottom w:val="none" w:sz="0" w:space="0" w:color="auto"/>
                <w:right w:val="none" w:sz="0" w:space="0" w:color="auto"/>
              </w:divBdr>
              <w:divsChild>
                <w:div w:id="629437141">
                  <w:marLeft w:val="0"/>
                  <w:marRight w:val="0"/>
                  <w:marTop w:val="0"/>
                  <w:marBottom w:val="0"/>
                  <w:divBdr>
                    <w:top w:val="none" w:sz="0" w:space="0" w:color="auto"/>
                    <w:left w:val="none" w:sz="0" w:space="0" w:color="auto"/>
                    <w:bottom w:val="none" w:sz="0" w:space="0" w:color="auto"/>
                    <w:right w:val="none" w:sz="0" w:space="0" w:color="auto"/>
                  </w:divBdr>
                  <w:divsChild>
                    <w:div w:id="2092194510">
                      <w:marLeft w:val="0"/>
                      <w:marRight w:val="0"/>
                      <w:marTop w:val="0"/>
                      <w:marBottom w:val="0"/>
                      <w:divBdr>
                        <w:top w:val="none" w:sz="0" w:space="0" w:color="auto"/>
                        <w:left w:val="none" w:sz="0" w:space="0" w:color="auto"/>
                        <w:bottom w:val="none" w:sz="0" w:space="0" w:color="auto"/>
                        <w:right w:val="none" w:sz="0" w:space="0" w:color="auto"/>
                      </w:divBdr>
                      <w:divsChild>
                        <w:div w:id="1551071150">
                          <w:marLeft w:val="0"/>
                          <w:marRight w:val="0"/>
                          <w:marTop w:val="0"/>
                          <w:marBottom w:val="0"/>
                          <w:divBdr>
                            <w:top w:val="none" w:sz="0" w:space="0" w:color="auto"/>
                            <w:left w:val="none" w:sz="0" w:space="0" w:color="auto"/>
                            <w:bottom w:val="none" w:sz="0" w:space="0" w:color="auto"/>
                            <w:right w:val="none" w:sz="0" w:space="0" w:color="auto"/>
                          </w:divBdr>
                          <w:divsChild>
                            <w:div w:id="737703800">
                              <w:marLeft w:val="0"/>
                              <w:marRight w:val="0"/>
                              <w:marTop w:val="0"/>
                              <w:marBottom w:val="0"/>
                              <w:divBdr>
                                <w:top w:val="none" w:sz="0" w:space="0" w:color="auto"/>
                                <w:left w:val="none" w:sz="0" w:space="0" w:color="auto"/>
                                <w:bottom w:val="none" w:sz="0" w:space="0" w:color="auto"/>
                                <w:right w:val="none" w:sz="0" w:space="0" w:color="auto"/>
                              </w:divBdr>
                              <w:divsChild>
                                <w:div w:id="208147438">
                                  <w:marLeft w:val="0"/>
                                  <w:marRight w:val="0"/>
                                  <w:marTop w:val="0"/>
                                  <w:marBottom w:val="0"/>
                                  <w:divBdr>
                                    <w:top w:val="none" w:sz="0" w:space="0" w:color="auto"/>
                                    <w:left w:val="none" w:sz="0" w:space="0" w:color="auto"/>
                                    <w:bottom w:val="none" w:sz="0" w:space="0" w:color="auto"/>
                                    <w:right w:val="none" w:sz="0" w:space="0" w:color="auto"/>
                                  </w:divBdr>
                                  <w:divsChild>
                                    <w:div w:id="980232278">
                                      <w:marLeft w:val="-90"/>
                                      <w:marRight w:val="-90"/>
                                      <w:marTop w:val="0"/>
                                      <w:marBottom w:val="0"/>
                                      <w:divBdr>
                                        <w:top w:val="none" w:sz="0" w:space="0" w:color="auto"/>
                                        <w:left w:val="none" w:sz="0" w:space="0" w:color="auto"/>
                                        <w:bottom w:val="none" w:sz="0" w:space="0" w:color="auto"/>
                                        <w:right w:val="none" w:sz="0" w:space="0" w:color="auto"/>
                                      </w:divBdr>
                                      <w:divsChild>
                                        <w:div w:id="12615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340417">
      <w:bodyDiv w:val="1"/>
      <w:marLeft w:val="0"/>
      <w:marRight w:val="0"/>
      <w:marTop w:val="0"/>
      <w:marBottom w:val="0"/>
      <w:divBdr>
        <w:top w:val="none" w:sz="0" w:space="0" w:color="auto"/>
        <w:left w:val="none" w:sz="0" w:space="0" w:color="auto"/>
        <w:bottom w:val="none" w:sz="0" w:space="0" w:color="auto"/>
        <w:right w:val="none" w:sz="0" w:space="0" w:color="auto"/>
      </w:divBdr>
    </w:div>
    <w:div w:id="1308851263">
      <w:bodyDiv w:val="1"/>
      <w:marLeft w:val="0"/>
      <w:marRight w:val="0"/>
      <w:marTop w:val="0"/>
      <w:marBottom w:val="0"/>
      <w:divBdr>
        <w:top w:val="none" w:sz="0" w:space="0" w:color="auto"/>
        <w:left w:val="none" w:sz="0" w:space="0" w:color="auto"/>
        <w:bottom w:val="none" w:sz="0" w:space="0" w:color="auto"/>
        <w:right w:val="none" w:sz="0" w:space="0" w:color="auto"/>
      </w:divBdr>
      <w:divsChild>
        <w:div w:id="676427343">
          <w:marLeft w:val="0"/>
          <w:marRight w:val="0"/>
          <w:marTop w:val="0"/>
          <w:marBottom w:val="0"/>
          <w:divBdr>
            <w:top w:val="none" w:sz="0" w:space="0" w:color="auto"/>
            <w:left w:val="none" w:sz="0" w:space="0" w:color="auto"/>
            <w:bottom w:val="none" w:sz="0" w:space="0" w:color="auto"/>
            <w:right w:val="none" w:sz="0" w:space="0" w:color="auto"/>
          </w:divBdr>
          <w:divsChild>
            <w:div w:id="1041516140">
              <w:marLeft w:val="-90"/>
              <w:marRight w:val="-90"/>
              <w:marTop w:val="0"/>
              <w:marBottom w:val="0"/>
              <w:divBdr>
                <w:top w:val="none" w:sz="0" w:space="0" w:color="auto"/>
                <w:left w:val="none" w:sz="0" w:space="0" w:color="auto"/>
                <w:bottom w:val="none" w:sz="0" w:space="0" w:color="auto"/>
                <w:right w:val="none" w:sz="0" w:space="0" w:color="auto"/>
              </w:divBdr>
              <w:divsChild>
                <w:div w:id="678001227">
                  <w:marLeft w:val="0"/>
                  <w:marRight w:val="0"/>
                  <w:marTop w:val="0"/>
                  <w:marBottom w:val="0"/>
                  <w:divBdr>
                    <w:top w:val="none" w:sz="0" w:space="0" w:color="auto"/>
                    <w:left w:val="none" w:sz="0" w:space="0" w:color="auto"/>
                    <w:bottom w:val="none" w:sz="0" w:space="0" w:color="auto"/>
                    <w:right w:val="none" w:sz="0" w:space="0" w:color="auto"/>
                  </w:divBdr>
                  <w:divsChild>
                    <w:div w:id="1187985813">
                      <w:marLeft w:val="0"/>
                      <w:marRight w:val="0"/>
                      <w:marTop w:val="0"/>
                      <w:marBottom w:val="0"/>
                      <w:divBdr>
                        <w:top w:val="none" w:sz="0" w:space="0" w:color="auto"/>
                        <w:left w:val="none" w:sz="0" w:space="0" w:color="auto"/>
                        <w:bottom w:val="none" w:sz="0" w:space="0" w:color="auto"/>
                        <w:right w:val="none" w:sz="0" w:space="0" w:color="auto"/>
                      </w:divBdr>
                      <w:divsChild>
                        <w:div w:id="1058165117">
                          <w:marLeft w:val="0"/>
                          <w:marRight w:val="0"/>
                          <w:marTop w:val="0"/>
                          <w:marBottom w:val="0"/>
                          <w:divBdr>
                            <w:top w:val="none" w:sz="0" w:space="0" w:color="auto"/>
                            <w:left w:val="none" w:sz="0" w:space="0" w:color="auto"/>
                            <w:bottom w:val="none" w:sz="0" w:space="0" w:color="auto"/>
                            <w:right w:val="none" w:sz="0" w:space="0" w:color="auto"/>
                          </w:divBdr>
                          <w:divsChild>
                            <w:div w:id="1399132183">
                              <w:marLeft w:val="0"/>
                              <w:marRight w:val="0"/>
                              <w:marTop w:val="0"/>
                              <w:marBottom w:val="0"/>
                              <w:divBdr>
                                <w:top w:val="none" w:sz="0" w:space="0" w:color="auto"/>
                                <w:left w:val="none" w:sz="0" w:space="0" w:color="auto"/>
                                <w:bottom w:val="none" w:sz="0" w:space="0" w:color="auto"/>
                                <w:right w:val="none" w:sz="0" w:space="0" w:color="auto"/>
                              </w:divBdr>
                              <w:divsChild>
                                <w:div w:id="795293108">
                                  <w:marLeft w:val="0"/>
                                  <w:marRight w:val="0"/>
                                  <w:marTop w:val="0"/>
                                  <w:marBottom w:val="0"/>
                                  <w:divBdr>
                                    <w:top w:val="none" w:sz="0" w:space="0" w:color="auto"/>
                                    <w:left w:val="none" w:sz="0" w:space="0" w:color="auto"/>
                                    <w:bottom w:val="none" w:sz="0" w:space="0" w:color="auto"/>
                                    <w:right w:val="none" w:sz="0" w:space="0" w:color="auto"/>
                                  </w:divBdr>
                                  <w:divsChild>
                                    <w:div w:id="1158570252">
                                      <w:marLeft w:val="-90"/>
                                      <w:marRight w:val="-90"/>
                                      <w:marTop w:val="0"/>
                                      <w:marBottom w:val="0"/>
                                      <w:divBdr>
                                        <w:top w:val="none" w:sz="0" w:space="0" w:color="auto"/>
                                        <w:left w:val="none" w:sz="0" w:space="0" w:color="auto"/>
                                        <w:bottom w:val="none" w:sz="0" w:space="0" w:color="auto"/>
                                        <w:right w:val="none" w:sz="0" w:space="0" w:color="auto"/>
                                      </w:divBdr>
                                      <w:divsChild>
                                        <w:div w:id="287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480344">
      <w:bodyDiv w:val="1"/>
      <w:marLeft w:val="0"/>
      <w:marRight w:val="0"/>
      <w:marTop w:val="0"/>
      <w:marBottom w:val="0"/>
      <w:divBdr>
        <w:top w:val="none" w:sz="0" w:space="0" w:color="auto"/>
        <w:left w:val="none" w:sz="0" w:space="0" w:color="auto"/>
        <w:bottom w:val="none" w:sz="0" w:space="0" w:color="auto"/>
        <w:right w:val="none" w:sz="0" w:space="0" w:color="auto"/>
      </w:divBdr>
    </w:div>
    <w:div w:id="17509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2935</Words>
  <Characters>16732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Palomba</dc:creator>
  <cp:keywords/>
  <dc:description/>
  <cp:lastModifiedBy>Michela Amoruso</cp:lastModifiedBy>
  <cp:revision>14</cp:revision>
  <cp:lastPrinted>2020-10-16T18:15:00Z</cp:lastPrinted>
  <dcterms:created xsi:type="dcterms:W3CDTF">2020-10-20T01:21:00Z</dcterms:created>
  <dcterms:modified xsi:type="dcterms:W3CDTF">2020-10-21T09:39:00Z</dcterms:modified>
</cp:coreProperties>
</file>